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6B964" w14:textId="6C74C86F" w:rsidR="0024313C" w:rsidRPr="00023DA9" w:rsidRDefault="0024313C" w:rsidP="0024313C">
      <w:pPr>
        <w:tabs>
          <w:tab w:val="left" w:pos="6237"/>
        </w:tabs>
        <w:ind w:left="4536"/>
        <w:jc w:val="both"/>
      </w:pPr>
      <w:r w:rsidRPr="00023DA9">
        <w:t xml:space="preserve">Příloha č. 15 usnesení č. Usn </w:t>
      </w:r>
      <w:r w:rsidR="00AA6F47">
        <w:t>Z</w:t>
      </w:r>
      <w:r w:rsidRPr="00023DA9">
        <w:t>MC 0XXX/202</w:t>
      </w:r>
      <w:r w:rsidR="00A339AB">
        <w:t>5</w:t>
      </w:r>
    </w:p>
    <w:p w14:paraId="6A42FBCE" w14:textId="5131C293" w:rsidR="0024313C" w:rsidRPr="00023DA9" w:rsidRDefault="00AA6F47" w:rsidP="0024313C">
      <w:pPr>
        <w:ind w:left="4536"/>
        <w:jc w:val="both"/>
      </w:pPr>
      <w:r w:rsidRPr="00AA6F47">
        <w:t>Zastupitelstv</w:t>
      </w:r>
      <w:r w:rsidR="00B436CD">
        <w:t>a</w:t>
      </w:r>
      <w:r w:rsidR="0024313C" w:rsidRPr="00023DA9">
        <w:t xml:space="preserve"> městské části Praha 8</w:t>
      </w:r>
    </w:p>
    <w:p w14:paraId="26C2FCCE" w14:textId="55B2AC9D" w:rsidR="0024313C" w:rsidRPr="00EF138E" w:rsidRDefault="0024313C" w:rsidP="0024313C">
      <w:pPr>
        <w:ind w:left="4536"/>
        <w:jc w:val="both"/>
        <w:rPr>
          <w:u w:val="single"/>
        </w:rPr>
      </w:pPr>
      <w:r w:rsidRPr="00023DA9">
        <w:rPr>
          <w:u w:val="single"/>
        </w:rPr>
        <w:t xml:space="preserve">ze dne </w:t>
      </w:r>
      <w:r w:rsidR="00172A9E">
        <w:rPr>
          <w:u w:val="single"/>
        </w:rPr>
        <w:t>2</w:t>
      </w:r>
      <w:r w:rsidR="00AA6F47">
        <w:rPr>
          <w:u w:val="single"/>
        </w:rPr>
        <w:t>5</w:t>
      </w:r>
      <w:r w:rsidRPr="00023DA9">
        <w:rPr>
          <w:u w:val="single"/>
        </w:rPr>
        <w:t xml:space="preserve">. </w:t>
      </w:r>
      <w:r w:rsidR="00AA6F47">
        <w:rPr>
          <w:u w:val="single"/>
        </w:rPr>
        <w:t>června</w:t>
      </w:r>
      <w:r w:rsidRPr="00023DA9">
        <w:rPr>
          <w:u w:val="single"/>
        </w:rPr>
        <w:t xml:space="preserve"> 202</w:t>
      </w:r>
      <w:r w:rsidR="00A339AB">
        <w:rPr>
          <w:u w:val="single"/>
        </w:rPr>
        <w:t>5</w:t>
      </w:r>
      <w:r w:rsidR="00EF138E" w:rsidRPr="00023DA9">
        <w:rPr>
          <w:u w:val="single"/>
        </w:rPr>
        <w:t>____________________</w:t>
      </w:r>
    </w:p>
    <w:p w14:paraId="36B10DA7" w14:textId="77777777" w:rsidR="0024313C" w:rsidRDefault="0024313C" w:rsidP="005E7593">
      <w:pPr>
        <w:tabs>
          <w:tab w:val="left" w:pos="900"/>
        </w:tabs>
        <w:jc w:val="center"/>
        <w:rPr>
          <w:b/>
          <w:sz w:val="40"/>
          <w:szCs w:val="40"/>
        </w:rPr>
      </w:pPr>
    </w:p>
    <w:p w14:paraId="6018ACDE" w14:textId="3A80E718" w:rsidR="00F3498F" w:rsidRPr="006543CC" w:rsidRDefault="00F3498F" w:rsidP="00F3498F">
      <w:pPr>
        <w:tabs>
          <w:tab w:val="left" w:pos="900"/>
        </w:tabs>
        <w:jc w:val="center"/>
        <w:rPr>
          <w:b/>
          <w:sz w:val="32"/>
          <w:szCs w:val="32"/>
        </w:rPr>
      </w:pPr>
      <w:r w:rsidRPr="006543CC">
        <w:rPr>
          <w:b/>
          <w:sz w:val="32"/>
          <w:szCs w:val="32"/>
        </w:rPr>
        <w:t xml:space="preserve">Příkaz starosty MČ k odstranění nedostatků </w:t>
      </w:r>
    </w:p>
    <w:p w14:paraId="2DACB1CB" w14:textId="77777777" w:rsidR="00F3498F" w:rsidRPr="006543CC" w:rsidRDefault="00F3498F" w:rsidP="00F3498F">
      <w:pPr>
        <w:spacing w:before="120"/>
        <w:ind w:left="900" w:firstLine="709"/>
        <w:jc w:val="center"/>
        <w:rPr>
          <w:vanish/>
          <w:sz w:val="32"/>
          <w:szCs w:val="32"/>
        </w:rPr>
      </w:pPr>
    </w:p>
    <w:p w14:paraId="552D76DC" w14:textId="2F2B4367" w:rsidR="00F3498F" w:rsidRPr="006543CC" w:rsidRDefault="00F3498F" w:rsidP="00F3498F">
      <w:pPr>
        <w:tabs>
          <w:tab w:val="left" w:pos="900"/>
        </w:tabs>
        <w:jc w:val="center"/>
        <w:rPr>
          <w:b/>
          <w:sz w:val="32"/>
          <w:szCs w:val="32"/>
        </w:rPr>
      </w:pPr>
      <w:r w:rsidRPr="006543CC">
        <w:rPr>
          <w:b/>
          <w:bCs/>
          <w:sz w:val="32"/>
          <w:szCs w:val="32"/>
        </w:rPr>
        <w:t xml:space="preserve">z přezkumu hospodaření </w:t>
      </w:r>
      <w:r w:rsidRPr="006543CC">
        <w:rPr>
          <w:b/>
          <w:sz w:val="32"/>
          <w:szCs w:val="32"/>
        </w:rPr>
        <w:t>městské části Praha 8</w:t>
      </w:r>
    </w:p>
    <w:p w14:paraId="4C35C604" w14:textId="52C90749" w:rsidR="00F3498F" w:rsidRPr="006543CC" w:rsidRDefault="00F3498F" w:rsidP="00F3498F">
      <w:pPr>
        <w:tabs>
          <w:tab w:val="left" w:pos="900"/>
        </w:tabs>
        <w:jc w:val="center"/>
        <w:rPr>
          <w:b/>
          <w:sz w:val="32"/>
          <w:szCs w:val="32"/>
        </w:rPr>
      </w:pPr>
      <w:r w:rsidRPr="006543CC">
        <w:rPr>
          <w:b/>
          <w:sz w:val="32"/>
          <w:szCs w:val="32"/>
        </w:rPr>
        <w:t>za období od 1.1.202</w:t>
      </w:r>
      <w:r w:rsidR="006543CC" w:rsidRPr="006543CC">
        <w:rPr>
          <w:b/>
          <w:sz w:val="32"/>
          <w:szCs w:val="32"/>
        </w:rPr>
        <w:t>4</w:t>
      </w:r>
      <w:r w:rsidRPr="006543CC">
        <w:rPr>
          <w:b/>
          <w:sz w:val="32"/>
          <w:szCs w:val="32"/>
        </w:rPr>
        <w:t xml:space="preserve"> do 31.12.202</w:t>
      </w:r>
      <w:r w:rsidR="006543CC" w:rsidRPr="006543CC">
        <w:rPr>
          <w:b/>
          <w:sz w:val="32"/>
          <w:szCs w:val="32"/>
        </w:rPr>
        <w:t>4</w:t>
      </w:r>
      <w:r w:rsidRPr="006543CC">
        <w:rPr>
          <w:b/>
          <w:sz w:val="32"/>
          <w:szCs w:val="32"/>
        </w:rPr>
        <w:t xml:space="preserve"> </w:t>
      </w:r>
    </w:p>
    <w:p w14:paraId="15DFDE6F" w14:textId="77777777" w:rsidR="00F9054B" w:rsidRDefault="00F9054B" w:rsidP="00F9054B">
      <w:pPr>
        <w:jc w:val="both"/>
        <w:rPr>
          <w:highlight w:val="yellow"/>
        </w:rPr>
      </w:pPr>
    </w:p>
    <w:p w14:paraId="48650145" w14:textId="77777777" w:rsidR="00F9054B" w:rsidRDefault="00F9054B" w:rsidP="00F9054B">
      <w:pPr>
        <w:jc w:val="both"/>
        <w:rPr>
          <w:highlight w:val="yellow"/>
        </w:rPr>
      </w:pPr>
    </w:p>
    <w:p w14:paraId="65EE8FB4" w14:textId="77777777" w:rsidR="00F9054B" w:rsidRPr="00F9054B" w:rsidRDefault="00F9054B" w:rsidP="00F9054B">
      <w:pPr>
        <w:pStyle w:val="Default"/>
        <w:rPr>
          <w:rFonts w:ascii="Times New Roman" w:hAnsi="Times New Roman" w:cs="Times New Roman"/>
          <w:sz w:val="28"/>
          <w:szCs w:val="28"/>
        </w:rPr>
      </w:pPr>
      <w:r w:rsidRPr="00F9054B">
        <w:rPr>
          <w:rFonts w:ascii="Times New Roman" w:hAnsi="Times New Roman" w:cs="Times New Roman"/>
          <w:b/>
          <w:bCs/>
          <w:sz w:val="28"/>
          <w:szCs w:val="28"/>
        </w:rPr>
        <w:t xml:space="preserve">B. Zjištění z konečného přezkoumání hospodaření </w:t>
      </w:r>
    </w:p>
    <w:p w14:paraId="0C0BCBDA" w14:textId="77777777" w:rsidR="00F9054B" w:rsidRPr="00A60C72" w:rsidRDefault="00F9054B" w:rsidP="00F9054B">
      <w:pPr>
        <w:pStyle w:val="Default"/>
        <w:rPr>
          <w:rFonts w:ascii="Times New Roman" w:hAnsi="Times New Roman" w:cs="Times New Roman"/>
          <w:b/>
          <w:bCs/>
        </w:rPr>
      </w:pPr>
      <w:r w:rsidRPr="00A60C72">
        <w:rPr>
          <w:rFonts w:ascii="Times New Roman" w:hAnsi="Times New Roman" w:cs="Times New Roman"/>
          <w:b/>
          <w:bCs/>
        </w:rPr>
        <w:t>Při konečném přezkoumání hospodaření MČ</w:t>
      </w:r>
    </w:p>
    <w:p w14:paraId="3B982D68" w14:textId="77777777" w:rsidR="00F9054B" w:rsidRPr="00A60C72" w:rsidRDefault="00F9054B" w:rsidP="00F9054B">
      <w:pPr>
        <w:pStyle w:val="Default"/>
        <w:rPr>
          <w:rFonts w:ascii="Times New Roman" w:hAnsi="Times New Roman" w:cs="Times New Roman"/>
        </w:rPr>
      </w:pPr>
      <w:r w:rsidRPr="00A60C72">
        <w:rPr>
          <w:rFonts w:ascii="Times New Roman" w:hAnsi="Times New Roman" w:cs="Times New Roman"/>
          <w:b/>
          <w:bCs/>
        </w:rPr>
        <w:t xml:space="preserve"> </w:t>
      </w:r>
    </w:p>
    <w:p w14:paraId="5812C5FF" w14:textId="77777777" w:rsidR="00F9054B" w:rsidRPr="00A60C72" w:rsidRDefault="00F9054B" w:rsidP="00F9054B">
      <w:pPr>
        <w:pStyle w:val="Default"/>
        <w:jc w:val="both"/>
        <w:rPr>
          <w:rFonts w:ascii="Times New Roman" w:hAnsi="Times New Roman" w:cs="Times New Roman"/>
        </w:rPr>
      </w:pPr>
      <w:r w:rsidRPr="00A60C72">
        <w:rPr>
          <w:rFonts w:ascii="Times New Roman" w:hAnsi="Times New Roman" w:cs="Times New Roman"/>
        </w:rPr>
        <w:t xml:space="preserve">• </w:t>
      </w:r>
      <w:r w:rsidRPr="00A60C72">
        <w:rPr>
          <w:rFonts w:ascii="Times New Roman" w:hAnsi="Times New Roman" w:cs="Times New Roman"/>
          <w:b/>
          <w:bCs/>
        </w:rPr>
        <w:t xml:space="preserve">nebyly zjištěny chyby a nedostatky, které nemají závažnost nedostatků uvedených pod § 10 odst. 3 písm. c) zákona č. 420/2004 Sb. </w:t>
      </w:r>
    </w:p>
    <w:p w14:paraId="6342B1F5" w14:textId="77777777" w:rsidR="00F9054B" w:rsidRPr="00A60C72" w:rsidRDefault="00F9054B" w:rsidP="00F9054B">
      <w:pPr>
        <w:pStyle w:val="Default"/>
        <w:jc w:val="both"/>
        <w:rPr>
          <w:rFonts w:ascii="Times New Roman" w:hAnsi="Times New Roman" w:cs="Times New Roman"/>
        </w:rPr>
      </w:pPr>
    </w:p>
    <w:p w14:paraId="10B1FA8B"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 xml:space="preserve">• </w:t>
      </w:r>
      <w:r w:rsidRPr="00A60C72">
        <w:rPr>
          <w:rFonts w:ascii="Times New Roman" w:hAnsi="Times New Roman" w:cs="Times New Roman"/>
          <w:b/>
          <w:bCs/>
          <w:color w:val="auto"/>
        </w:rPr>
        <w:t xml:space="preserve">byly zjištěny následující chyby a nedostatky ve smyslu ustanovení § 10 odst. 3 písm. c) zákona č. 420/2004 Sb.: </w:t>
      </w:r>
    </w:p>
    <w:p w14:paraId="16E5679D" w14:textId="77777777" w:rsidR="00F9054B" w:rsidRDefault="00F9054B" w:rsidP="00F9054B">
      <w:pPr>
        <w:pStyle w:val="Default"/>
        <w:jc w:val="both"/>
        <w:rPr>
          <w:rFonts w:ascii="Times New Roman" w:hAnsi="Times New Roman" w:cs="Times New Roman"/>
          <w:color w:val="auto"/>
          <w:u w:val="single"/>
        </w:rPr>
      </w:pPr>
    </w:p>
    <w:p w14:paraId="2231BFC5" w14:textId="77777777" w:rsidR="00BB10C8" w:rsidRDefault="00BB10C8" w:rsidP="00F9054B">
      <w:pPr>
        <w:pStyle w:val="Default"/>
        <w:jc w:val="both"/>
        <w:rPr>
          <w:rFonts w:ascii="Times New Roman" w:hAnsi="Times New Roman" w:cs="Times New Roman"/>
          <w:color w:val="auto"/>
          <w:u w:val="single"/>
        </w:rPr>
      </w:pPr>
    </w:p>
    <w:p w14:paraId="79C49F97" w14:textId="77777777" w:rsidR="00F9054B" w:rsidRPr="00A60C72" w:rsidRDefault="00F9054B" w:rsidP="00F9054B">
      <w:pPr>
        <w:pStyle w:val="Default"/>
        <w:jc w:val="both"/>
        <w:rPr>
          <w:rFonts w:ascii="Times New Roman" w:hAnsi="Times New Roman" w:cs="Times New Roman"/>
          <w:b/>
          <w:bCs/>
          <w:color w:val="auto"/>
        </w:rPr>
      </w:pPr>
      <w:r w:rsidRPr="00A60C72">
        <w:rPr>
          <w:rFonts w:ascii="Times New Roman" w:hAnsi="Times New Roman" w:cs="Times New Roman"/>
          <w:b/>
          <w:bCs/>
          <w:color w:val="auto"/>
        </w:rPr>
        <w:t>1)</w:t>
      </w:r>
    </w:p>
    <w:p w14:paraId="072B4E7B" w14:textId="77777777" w:rsidR="00F9054B" w:rsidRPr="00A60C72" w:rsidRDefault="00F9054B" w:rsidP="00F9054B">
      <w:pPr>
        <w:pStyle w:val="Default"/>
        <w:jc w:val="both"/>
        <w:rPr>
          <w:rFonts w:ascii="Times New Roman" w:hAnsi="Times New Roman" w:cs="Times New Roman"/>
          <w:color w:val="auto"/>
          <w:u w:val="single"/>
        </w:rPr>
      </w:pPr>
      <w:r w:rsidRPr="00A60C72">
        <w:rPr>
          <w:rFonts w:ascii="Times New Roman" w:hAnsi="Times New Roman" w:cs="Times New Roman"/>
          <w:color w:val="auto"/>
          <w:u w:val="single"/>
        </w:rPr>
        <w:t xml:space="preserve">Předmět: Zákon č. 420/2004 Sb. § 2 odst. 1 písm. c) náklady a výnosy podnikatelské činnosti územního celku </w:t>
      </w:r>
    </w:p>
    <w:p w14:paraId="236E8A72" w14:textId="77777777" w:rsidR="00F9054B" w:rsidRPr="00A60C72" w:rsidRDefault="00F9054B" w:rsidP="00F9054B">
      <w:pPr>
        <w:pStyle w:val="Default"/>
        <w:jc w:val="both"/>
        <w:rPr>
          <w:rFonts w:ascii="Times New Roman" w:hAnsi="Times New Roman" w:cs="Times New Roman"/>
          <w:i/>
          <w:iCs/>
          <w:color w:val="auto"/>
          <w:u w:val="single"/>
        </w:rPr>
      </w:pPr>
    </w:p>
    <w:p w14:paraId="62C1EF02"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i/>
          <w:iCs/>
          <w:color w:val="auto"/>
        </w:rPr>
        <w:t xml:space="preserve">Právní předpis: Zákon č. 131/2000 Sb., o hlavním městě Praze, ve znění pozdějších předpisů </w:t>
      </w:r>
    </w:p>
    <w:p w14:paraId="44FB1763" w14:textId="77777777" w:rsidR="00F9054B" w:rsidRPr="00A60C72" w:rsidRDefault="00F9054B" w:rsidP="00F9054B">
      <w:pPr>
        <w:pStyle w:val="Default"/>
        <w:jc w:val="both"/>
        <w:rPr>
          <w:rFonts w:ascii="Times New Roman" w:hAnsi="Times New Roman" w:cs="Times New Roman"/>
          <w:color w:val="auto"/>
        </w:rPr>
      </w:pPr>
    </w:p>
    <w:p w14:paraId="6FBD0DE0" w14:textId="77777777" w:rsidR="00F9054B" w:rsidRPr="00A60C72" w:rsidRDefault="00F9054B" w:rsidP="00F9054B">
      <w:pPr>
        <w:pStyle w:val="Default"/>
        <w:numPr>
          <w:ilvl w:val="0"/>
          <w:numId w:val="23"/>
        </w:numPr>
        <w:jc w:val="both"/>
        <w:rPr>
          <w:rFonts w:ascii="Times New Roman" w:hAnsi="Times New Roman" w:cs="Times New Roman"/>
          <w:color w:val="auto"/>
        </w:rPr>
      </w:pPr>
      <w:r w:rsidRPr="00A60C72">
        <w:rPr>
          <w:rFonts w:ascii="Times New Roman" w:hAnsi="Times New Roman" w:cs="Times New Roman"/>
          <w:i/>
          <w:iCs/>
          <w:color w:val="auto"/>
        </w:rPr>
        <w:t xml:space="preserve">ustanovení § 35 odst. 1 a 4 </w:t>
      </w:r>
    </w:p>
    <w:p w14:paraId="42CA2D35" w14:textId="77777777" w:rsidR="00F9054B" w:rsidRPr="00A60C72" w:rsidRDefault="00F9054B" w:rsidP="00F9054B">
      <w:pPr>
        <w:pStyle w:val="Default"/>
        <w:jc w:val="both"/>
        <w:rPr>
          <w:rFonts w:ascii="Times New Roman" w:hAnsi="Times New Roman" w:cs="Times New Roman"/>
          <w:color w:val="auto"/>
        </w:rPr>
      </w:pPr>
    </w:p>
    <w:p w14:paraId="61351435" w14:textId="77777777" w:rsidR="00F9054B" w:rsidRPr="00A60C72" w:rsidRDefault="00F9054B" w:rsidP="00F9054B">
      <w:pPr>
        <w:pStyle w:val="Default"/>
        <w:ind w:firstLine="708"/>
        <w:jc w:val="both"/>
        <w:rPr>
          <w:rFonts w:ascii="Times New Roman" w:hAnsi="Times New Roman" w:cs="Times New Roman"/>
          <w:color w:val="auto"/>
        </w:rPr>
      </w:pPr>
      <w:r w:rsidRPr="00A60C72">
        <w:rPr>
          <w:rFonts w:ascii="Times New Roman" w:hAnsi="Times New Roman" w:cs="Times New Roman"/>
          <w:color w:val="auto"/>
        </w:rPr>
        <w:t xml:space="preserve">Při přezkoumání nákladů a výnosů podnikatelské (zdaňované) činnosti MČ prováděné prostřednictvím společnosti Osmá správa majetku a služeb a.s. (dále jen OSMS) na základě Příkazní smlouvy č. 2016/0202/OSM.DOBCH ve znění dodatků č. 1 až 6 bylo zjištěno, že v rámci dokladových inventur krátkodobých pohledávek a závazků zdaňované činnosti (ORJ 16) prováděných k 31.12.2024: </w:t>
      </w:r>
    </w:p>
    <w:p w14:paraId="4C5519CF" w14:textId="77777777" w:rsidR="00F9054B" w:rsidRPr="00A60C72" w:rsidRDefault="00F9054B" w:rsidP="00F9054B">
      <w:pPr>
        <w:pStyle w:val="Default"/>
        <w:ind w:firstLine="708"/>
        <w:jc w:val="both"/>
        <w:rPr>
          <w:rFonts w:ascii="Times New Roman" w:hAnsi="Times New Roman" w:cs="Times New Roman"/>
          <w:color w:val="auto"/>
        </w:rPr>
      </w:pPr>
    </w:p>
    <w:p w14:paraId="77CBEAE5" w14:textId="31A93730"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1) k předloženým souhrnným inventurním soupisům účtů 314 – Krátkodobě poskytnuté zálohy, 324 – Krátkodobé přijaté zálohy a 377 – Ostatní krátkodobé pohledávky: byly doloženy pouze zůstatky jednotlivých analytických účtů, které nebyly doloženy žádnými dalšími doklady ověřující jejich skutečnou výši. Na základě dotazu byla doložena vyjádření OSMS ze dne 08.01.2018 a</w:t>
      </w:r>
      <w:r>
        <w:rPr>
          <w:rFonts w:ascii="Times New Roman" w:hAnsi="Times New Roman" w:cs="Times New Roman"/>
          <w:color w:val="auto"/>
        </w:rPr>
        <w:t> </w:t>
      </w:r>
      <w:r w:rsidRPr="00A60C72">
        <w:rPr>
          <w:rFonts w:ascii="Times New Roman" w:hAnsi="Times New Roman" w:cs="Times New Roman"/>
          <w:color w:val="auto"/>
        </w:rPr>
        <w:t>ze</w:t>
      </w:r>
      <w:r>
        <w:rPr>
          <w:rFonts w:ascii="Times New Roman" w:hAnsi="Times New Roman" w:cs="Times New Roman"/>
          <w:color w:val="auto"/>
        </w:rPr>
        <w:t> </w:t>
      </w:r>
      <w:r w:rsidRPr="00A60C72">
        <w:rPr>
          <w:rFonts w:ascii="Times New Roman" w:hAnsi="Times New Roman" w:cs="Times New Roman"/>
          <w:color w:val="auto"/>
        </w:rPr>
        <w:t xml:space="preserve">dne 05.12.2017 s tím, že se jedná dokladovou nouzi z důvodu nedoložených inventárních zůstatků při předání účetnictví mezi MČ a správními firmami AUSTIS správa s.r.o. a CENTRA a.s. za období od roku 1992 až do roku 2015. Z celkového počtu 14 analytických účtů se jednalo například o: </w:t>
      </w:r>
    </w:p>
    <w:p w14:paraId="64FF4515" w14:textId="77777777" w:rsidR="00F9054B" w:rsidRPr="00A60C72" w:rsidRDefault="00F9054B" w:rsidP="00F9054B">
      <w:pPr>
        <w:pStyle w:val="Default"/>
        <w:numPr>
          <w:ilvl w:val="1"/>
          <w:numId w:val="24"/>
        </w:numPr>
        <w:jc w:val="both"/>
        <w:rPr>
          <w:rFonts w:ascii="Times New Roman" w:hAnsi="Times New Roman" w:cs="Times New Roman"/>
          <w:color w:val="auto"/>
        </w:rPr>
      </w:pPr>
    </w:p>
    <w:p w14:paraId="300A1411"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314 974 – „Úklid – přijaté faktury 2015“ ve výši 4 355,86 Kč, </w:t>
      </w:r>
    </w:p>
    <w:p w14:paraId="0DB09710"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314 196 – „Ostatní zálohy – exekuce“ ve výši 3 158 804,03 Kč, </w:t>
      </w:r>
    </w:p>
    <w:p w14:paraId="4A9FEDD8"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324 971 – „Teplá voda – </w:t>
      </w:r>
      <w:proofErr w:type="spellStart"/>
      <w:r w:rsidRPr="00A60C72">
        <w:rPr>
          <w:rFonts w:ascii="Times New Roman" w:hAnsi="Times New Roman" w:cs="Times New Roman"/>
          <w:color w:val="auto"/>
        </w:rPr>
        <w:t>nebyty</w:t>
      </w:r>
      <w:proofErr w:type="spellEnd"/>
      <w:r w:rsidRPr="00A60C72">
        <w:rPr>
          <w:rFonts w:ascii="Times New Roman" w:hAnsi="Times New Roman" w:cs="Times New Roman"/>
          <w:color w:val="auto"/>
        </w:rPr>
        <w:t xml:space="preserve"> 2015“ ve výši - 319 100 Kč, </w:t>
      </w:r>
    </w:p>
    <w:p w14:paraId="747457AC"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324 996 – „Zálohy ostatní </w:t>
      </w:r>
      <w:proofErr w:type="spellStart"/>
      <w:r w:rsidRPr="00A60C72">
        <w:rPr>
          <w:rFonts w:ascii="Times New Roman" w:hAnsi="Times New Roman" w:cs="Times New Roman"/>
          <w:color w:val="auto"/>
        </w:rPr>
        <w:t>nebyty</w:t>
      </w:r>
      <w:proofErr w:type="spellEnd"/>
      <w:r w:rsidRPr="00A60C72">
        <w:rPr>
          <w:rFonts w:ascii="Times New Roman" w:hAnsi="Times New Roman" w:cs="Times New Roman"/>
          <w:color w:val="auto"/>
        </w:rPr>
        <w:t xml:space="preserve"> 2015“ ve výši 103 211 Kč, </w:t>
      </w:r>
    </w:p>
    <w:p w14:paraId="2E546A61"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377 390 – „Předpis pronájmů za užívání bytu AUSTIS 2015“ ve výši – 12 612 Kč, </w:t>
      </w:r>
    </w:p>
    <w:p w14:paraId="7781DFAE" w14:textId="5E2B32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 účet 377 391 – „Předpis pronájmů NB AUSTIS 2015“ ve výši 1 478 019,48 Kč. nebyly doloženy žádné další sestavy ani doklady, podle kterých by je bylo možné tyto pohledávky a závazky blíže identifikovat ověřit tak jejich skutečnou výši. Na základě dotazu bylo doloženo vyjádření OSMS, </w:t>
      </w:r>
      <w:r w:rsidRPr="00A60C72">
        <w:rPr>
          <w:rFonts w:ascii="Times New Roman" w:hAnsi="Times New Roman" w:cs="Times New Roman"/>
          <w:color w:val="auto"/>
        </w:rPr>
        <w:lastRenderedPageBreak/>
        <w:t>že na níže uvedených analytických účtech byly evidovány měsíční předpisy přijatých záloh od</w:t>
      </w:r>
      <w:r>
        <w:rPr>
          <w:rFonts w:ascii="Times New Roman" w:hAnsi="Times New Roman" w:cs="Times New Roman"/>
          <w:color w:val="auto"/>
        </w:rPr>
        <w:t> </w:t>
      </w:r>
      <w:r w:rsidRPr="00A60C72">
        <w:rPr>
          <w:rFonts w:ascii="Times New Roman" w:hAnsi="Times New Roman" w:cs="Times New Roman"/>
          <w:color w:val="auto"/>
        </w:rPr>
        <w:t xml:space="preserve">nájemců a poskytnutých záloh dodavatelům za celý rok, které se ročně zúčtovávají a dosáhly velkého objemu dat v návaznosti na evidenční systém </w:t>
      </w:r>
      <w:proofErr w:type="spellStart"/>
      <w:r w:rsidRPr="00A60C72">
        <w:rPr>
          <w:rFonts w:ascii="Times New Roman" w:hAnsi="Times New Roman" w:cs="Times New Roman"/>
          <w:color w:val="auto"/>
        </w:rPr>
        <w:t>Domsys</w:t>
      </w:r>
      <w:proofErr w:type="spellEnd"/>
      <w:r w:rsidRPr="00A60C72">
        <w:rPr>
          <w:rFonts w:ascii="Times New Roman" w:hAnsi="Times New Roman" w:cs="Times New Roman"/>
          <w:color w:val="auto"/>
        </w:rPr>
        <w:t xml:space="preserve">, a proto byly zpracovány pouze souhrnné inventurní soupisy účtů 314 a 324, ale nebyly zpracovány inventurní soupisy příslušných analytických účtů včetně rozpisu na jednotlivé identifikátory. Z celkového počtu 25 analytických účtů se jednalo například o: </w:t>
      </w:r>
    </w:p>
    <w:p w14:paraId="4C6F0B40"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účet 314 183 – „El. energie sudý“ ve výši 1 551 479,49 Kč, </w:t>
      </w:r>
    </w:p>
    <w:p w14:paraId="5B0F6599"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účet 314 184 – „Úklid sudý“ ve výši 4 679 039,59 Kč, </w:t>
      </w:r>
    </w:p>
    <w:p w14:paraId="78B98621"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účet 314 193 – „Zálohy na teplo – smlouvy“ ve výši 13 257 305,24 Kč, </w:t>
      </w:r>
    </w:p>
    <w:p w14:paraId="005BA13E" w14:textId="77777777"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 xml:space="preserve">účet 324 181 – „Záloha teplo – byty“ ve výši 6 618 578,94 Kč, </w:t>
      </w:r>
    </w:p>
    <w:p w14:paraId="564587BC" w14:textId="62315016"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účet 324 182 – „Záloha teplo</w:t>
      </w:r>
      <w:r>
        <w:rPr>
          <w:rFonts w:ascii="Times New Roman" w:hAnsi="Times New Roman" w:cs="Times New Roman"/>
          <w:color w:val="auto"/>
        </w:rPr>
        <w:t xml:space="preserve"> </w:t>
      </w:r>
      <w:r w:rsidRPr="00A60C72">
        <w:rPr>
          <w:rFonts w:ascii="Times New Roman" w:hAnsi="Times New Roman" w:cs="Times New Roman"/>
          <w:color w:val="auto"/>
        </w:rPr>
        <w:t>+</w:t>
      </w:r>
      <w:r>
        <w:rPr>
          <w:rFonts w:ascii="Times New Roman" w:hAnsi="Times New Roman" w:cs="Times New Roman"/>
          <w:color w:val="auto"/>
        </w:rPr>
        <w:t xml:space="preserve"> </w:t>
      </w:r>
      <w:r w:rsidRPr="00A60C72">
        <w:rPr>
          <w:rFonts w:ascii="Times New Roman" w:hAnsi="Times New Roman" w:cs="Times New Roman"/>
          <w:color w:val="auto"/>
        </w:rPr>
        <w:t xml:space="preserve">TUV NP“ ve výši 7 491 269 Kč, </w:t>
      </w:r>
    </w:p>
    <w:p w14:paraId="44752AB0" w14:textId="62493F39" w:rsidR="00F9054B" w:rsidRPr="00A60C72" w:rsidRDefault="00F9054B" w:rsidP="00F9054B">
      <w:pPr>
        <w:pStyle w:val="Default"/>
        <w:numPr>
          <w:ilvl w:val="1"/>
          <w:numId w:val="24"/>
        </w:numPr>
        <w:jc w:val="both"/>
        <w:rPr>
          <w:rFonts w:ascii="Times New Roman" w:hAnsi="Times New Roman" w:cs="Times New Roman"/>
          <w:color w:val="auto"/>
        </w:rPr>
      </w:pPr>
      <w:r w:rsidRPr="00A60C72">
        <w:rPr>
          <w:rFonts w:ascii="Times New Roman" w:hAnsi="Times New Roman" w:cs="Times New Roman"/>
          <w:color w:val="auto"/>
        </w:rPr>
        <w:t>účet 324 184 – „Zálohy vodné, stočné</w:t>
      </w:r>
      <w:r>
        <w:rPr>
          <w:rFonts w:ascii="Times New Roman" w:hAnsi="Times New Roman" w:cs="Times New Roman"/>
          <w:color w:val="auto"/>
        </w:rPr>
        <w:t xml:space="preserve"> – </w:t>
      </w:r>
      <w:proofErr w:type="spellStart"/>
      <w:r w:rsidRPr="00A60C72">
        <w:rPr>
          <w:rFonts w:ascii="Times New Roman" w:hAnsi="Times New Roman" w:cs="Times New Roman"/>
          <w:color w:val="auto"/>
        </w:rPr>
        <w:t>nebyty</w:t>
      </w:r>
      <w:proofErr w:type="spellEnd"/>
      <w:r w:rsidRPr="00A60C72">
        <w:rPr>
          <w:rFonts w:ascii="Times New Roman" w:hAnsi="Times New Roman" w:cs="Times New Roman"/>
          <w:color w:val="auto"/>
        </w:rPr>
        <w:t xml:space="preserve">“ ve výši 4 893 463,96 Kč, </w:t>
      </w:r>
    </w:p>
    <w:p w14:paraId="5DF37FAC" w14:textId="77777777" w:rsidR="00F9054B" w:rsidRPr="00A60C72" w:rsidRDefault="00F9054B" w:rsidP="00F9054B">
      <w:pPr>
        <w:pStyle w:val="Default"/>
        <w:numPr>
          <w:ilvl w:val="1"/>
          <w:numId w:val="24"/>
        </w:numPr>
        <w:jc w:val="both"/>
        <w:rPr>
          <w:rFonts w:ascii="Times New Roman" w:hAnsi="Times New Roman" w:cs="Times New Roman"/>
          <w:color w:val="auto"/>
        </w:rPr>
      </w:pPr>
    </w:p>
    <w:p w14:paraId="7F29296E" w14:textId="079A8F2F" w:rsidR="00F9054B" w:rsidRPr="00A60C72" w:rsidRDefault="00F9054B" w:rsidP="00F9054B">
      <w:pPr>
        <w:pStyle w:val="Default"/>
        <w:numPr>
          <w:ilvl w:val="1"/>
          <w:numId w:val="25"/>
        </w:numPr>
        <w:spacing w:after="15"/>
        <w:jc w:val="both"/>
        <w:rPr>
          <w:rFonts w:ascii="Times New Roman" w:hAnsi="Times New Roman" w:cs="Times New Roman"/>
          <w:color w:val="auto"/>
        </w:rPr>
      </w:pPr>
      <w:r w:rsidRPr="00A60C72">
        <w:rPr>
          <w:rFonts w:ascii="Times New Roman" w:hAnsi="Times New Roman" w:cs="Times New Roman"/>
          <w:color w:val="auto"/>
        </w:rPr>
        <w:t>2) k předloženým inventurním soupisům níže uvedených analytických účtů nebyly doloženy z</w:t>
      </w:r>
      <w:r>
        <w:rPr>
          <w:rFonts w:ascii="Times New Roman" w:hAnsi="Times New Roman" w:cs="Times New Roman"/>
          <w:color w:val="auto"/>
        </w:rPr>
        <w:t> </w:t>
      </w:r>
      <w:r w:rsidRPr="00A60C72">
        <w:rPr>
          <w:rFonts w:ascii="Times New Roman" w:hAnsi="Times New Roman" w:cs="Times New Roman"/>
          <w:color w:val="auto"/>
        </w:rPr>
        <w:t xml:space="preserve">důvodu dokladové nouze (zničený archiv dokladů při povodni v srpnu roku 2002) žádné další doklady (inventarizační evidence) ověřující jejich skutečnou výši: </w:t>
      </w:r>
    </w:p>
    <w:p w14:paraId="69276907" w14:textId="2255B815"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účet 377 0320 „Ostatní krátkodobé pohledávky – předpis pronájmu z nebytových prostor“ ve</w:t>
      </w:r>
      <w:r>
        <w:rPr>
          <w:rFonts w:ascii="Times New Roman" w:hAnsi="Times New Roman" w:cs="Times New Roman"/>
          <w:color w:val="auto"/>
        </w:rPr>
        <w:t> </w:t>
      </w:r>
      <w:r w:rsidRPr="00A60C72">
        <w:rPr>
          <w:rFonts w:ascii="Times New Roman" w:hAnsi="Times New Roman" w:cs="Times New Roman"/>
          <w:color w:val="auto"/>
        </w:rPr>
        <w:t xml:space="preserve">výši 16 583 494,53 Kč, </w:t>
      </w:r>
    </w:p>
    <w:p w14:paraId="27F52C5A" w14:textId="77777777"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účet 377 0360 „Ostatní krátkodobé pohledávky – předpis dobropisů“ ve výši 1 664 678,93 Kč, např. pohledávky označené jako „Centrum Palmovka“ z roku 2016 ve výši 1 513 423,79 Kč, „</w:t>
      </w:r>
      <w:proofErr w:type="spellStart"/>
      <w:r w:rsidRPr="00A60C72">
        <w:rPr>
          <w:rFonts w:ascii="Times New Roman" w:hAnsi="Times New Roman" w:cs="Times New Roman"/>
          <w:color w:val="auto"/>
        </w:rPr>
        <w:t>Lumex</w:t>
      </w:r>
      <w:proofErr w:type="spellEnd"/>
      <w:r w:rsidRPr="00A60C72">
        <w:rPr>
          <w:rFonts w:ascii="Times New Roman" w:hAnsi="Times New Roman" w:cs="Times New Roman"/>
          <w:color w:val="auto"/>
        </w:rPr>
        <w:t xml:space="preserve">“ z roku 2016 ve výši 70 000 Kč a „C+U a.s.“ z roku 2016 ve výši 8 203 Kč, </w:t>
      </w:r>
    </w:p>
    <w:p w14:paraId="03B34760" w14:textId="509E4570"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účet 311 0010 „Předpisy – odběratelé SF-ZČ“ ve výši 727 925,36 Kč, např. pohledávky za</w:t>
      </w:r>
      <w:r>
        <w:rPr>
          <w:rFonts w:ascii="Times New Roman" w:hAnsi="Times New Roman" w:cs="Times New Roman"/>
          <w:color w:val="auto"/>
        </w:rPr>
        <w:t> </w:t>
      </w:r>
      <w:r w:rsidRPr="00A60C72">
        <w:rPr>
          <w:rFonts w:ascii="Times New Roman" w:hAnsi="Times New Roman" w:cs="Times New Roman"/>
          <w:color w:val="auto"/>
        </w:rPr>
        <w:t xml:space="preserve">fyzickou osobou E. Z. v celkové výši 11 450 Kč se splatností do 22.06.2016, za právnickými osobami PMP Prostějov s.r.o. ve výši 3 393 Kč se splatností do 30.04.2012 a COM-TIP s.r.o. v celkové výši 86 618,80 Kč bez uvedení data splatnosti, </w:t>
      </w:r>
    </w:p>
    <w:p w14:paraId="0FC5D6B7" w14:textId="77777777" w:rsidR="00F9054B" w:rsidRPr="00A60C72" w:rsidRDefault="00F9054B" w:rsidP="00F9054B">
      <w:pPr>
        <w:pStyle w:val="Default"/>
        <w:jc w:val="both"/>
        <w:rPr>
          <w:rFonts w:ascii="Times New Roman" w:hAnsi="Times New Roman" w:cs="Times New Roman"/>
          <w:color w:val="auto"/>
        </w:rPr>
      </w:pPr>
    </w:p>
    <w:p w14:paraId="33CADDBC"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 xml:space="preserve">3) k předloženým inventurním soupisům analytických účtu 314 197 – „Úhrady placené nájemci“ ve výši 2 737 320,63 Kč a účtu 314 198 „Úhrady placené nájemci“ ve výši 906 842 Kč nebyla doložena žádná sestava ani přiloženy žádné doklady (inventurní evidence) ověřující jejich skutečnou výši. Na základě dotazu bylo doloženo vyjádření OSMS, že na těchto analytických účtech byly vedeny měsíčně placené zálohy za služby bytovým družstvům a sdružením vlastníků jednotek, ve kterých MČ vlastnila prostory s tím, že vyúčtování záloh podléhalo ročnímu vyúčtování. V některých případech ale OSMS vyúčtování neobdrželo, takže vyúčtování záloh obdržených na účet 314 nebylo provedeno. </w:t>
      </w:r>
    </w:p>
    <w:p w14:paraId="08A93211" w14:textId="77777777" w:rsidR="00F9054B" w:rsidRPr="00A60C72" w:rsidRDefault="00F9054B" w:rsidP="00F9054B">
      <w:pPr>
        <w:pStyle w:val="Default"/>
        <w:jc w:val="both"/>
        <w:rPr>
          <w:rFonts w:ascii="Times New Roman" w:hAnsi="Times New Roman" w:cs="Times New Roman"/>
          <w:color w:val="auto"/>
        </w:rPr>
      </w:pPr>
    </w:p>
    <w:p w14:paraId="5DF27590" w14:textId="79FE0108" w:rsidR="00F9054B" w:rsidRPr="00A60C72" w:rsidRDefault="00F9054B" w:rsidP="00F9054B">
      <w:pPr>
        <w:pStyle w:val="Default"/>
        <w:ind w:firstLine="708"/>
        <w:jc w:val="both"/>
        <w:rPr>
          <w:rFonts w:ascii="Times New Roman" w:hAnsi="Times New Roman" w:cs="Times New Roman"/>
          <w:color w:val="auto"/>
        </w:rPr>
      </w:pPr>
      <w:r w:rsidRPr="00A60C72">
        <w:rPr>
          <w:rFonts w:ascii="Times New Roman" w:hAnsi="Times New Roman" w:cs="Times New Roman"/>
          <w:color w:val="auto"/>
        </w:rPr>
        <w:t>Ve výše uvedených třech případech nebylo postupováno v souladu s ustanovením § 29 odst. 1 zákona č. 563/1991 Sb., o účetnictví, ve znění pozdějších předpisů, který stanoví, že účetní jednotky zjišťují skutečný stav veškerého majetku a závazků a ověřují, zda zjištěný skutečný stav odpovídá stavu majetku a závazků v účetnictví, zároveň nebylo postupováno v souladu s</w:t>
      </w:r>
      <w:r>
        <w:rPr>
          <w:rFonts w:ascii="Times New Roman" w:hAnsi="Times New Roman" w:cs="Times New Roman"/>
          <w:color w:val="auto"/>
        </w:rPr>
        <w:t> </w:t>
      </w:r>
      <w:r w:rsidRPr="00A60C72">
        <w:rPr>
          <w:rFonts w:ascii="Times New Roman" w:hAnsi="Times New Roman" w:cs="Times New Roman"/>
          <w:color w:val="auto"/>
        </w:rPr>
        <w:t>ustanovením § 30 odst. 7 zákona č. 563/1991 Sb. o účetnictví, ve znění pozdějších předpisů, podle kterého jsou inventurní soupisy průkazné účetní doklady, které mimo jiné musí obsahovat skutečnosti zjištěné při inventarizaci, a to tak, aby bylo možno zjištěný majetek a závazky jednoznačně určit.</w:t>
      </w:r>
    </w:p>
    <w:p w14:paraId="399508C7"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 xml:space="preserve"> </w:t>
      </w:r>
    </w:p>
    <w:p w14:paraId="257E909D" w14:textId="1944F081" w:rsidR="00F9054B" w:rsidRPr="00A60C72" w:rsidRDefault="00F9054B" w:rsidP="00F9054B">
      <w:pPr>
        <w:pStyle w:val="Default"/>
        <w:numPr>
          <w:ilvl w:val="1"/>
          <w:numId w:val="26"/>
        </w:numPr>
        <w:spacing w:after="15"/>
        <w:jc w:val="both"/>
        <w:rPr>
          <w:rFonts w:ascii="Times New Roman" w:hAnsi="Times New Roman" w:cs="Times New Roman"/>
          <w:color w:val="auto"/>
        </w:rPr>
      </w:pPr>
      <w:r w:rsidRPr="00A60C72">
        <w:rPr>
          <w:rFonts w:ascii="Times New Roman" w:hAnsi="Times New Roman" w:cs="Times New Roman"/>
          <w:color w:val="auto"/>
        </w:rPr>
        <w:t>4) na analytickém účtu 377 351 – „Ostatní pohledávky – kauce“ ve výši 884 802 Kč byly evidovány neuhrazené kauce k nájemním smlouvám na nebytové prostory uzavřené na dobu neurčitou. V těchto případech mělo dle nájemních smluv docházet k úhradě kauce před podpisem smlouvy a předáním předmětu nájmu nájemci. Na základě dotazu bylo předloženo vyjádření OSMS, že na tomto účtu byly zaevidovány kauce, u kterých nebyly ani ve spolupráci s</w:t>
      </w:r>
      <w:r>
        <w:rPr>
          <w:rFonts w:ascii="Times New Roman" w:hAnsi="Times New Roman" w:cs="Times New Roman"/>
          <w:color w:val="auto"/>
        </w:rPr>
        <w:t> </w:t>
      </w:r>
      <w:r w:rsidRPr="00A60C72">
        <w:rPr>
          <w:rFonts w:ascii="Times New Roman" w:hAnsi="Times New Roman" w:cs="Times New Roman"/>
          <w:color w:val="auto"/>
        </w:rPr>
        <w:t xml:space="preserve">ekonomickým odborem ÚMČ dohledány jejich úhrady, a dále zde byly evidovány aktuální nevyrovnané kauce. Jednalo se například o neuhrazené kauce: </w:t>
      </w:r>
    </w:p>
    <w:p w14:paraId="037E941B" w14:textId="77777777"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lastRenderedPageBreak/>
        <w:t xml:space="preserve">ve výši 113 394 Kč sjednané se společností TRAMET s.r.o. za užívání nebytového prostoru č. 89/502 dle nájemní smlouvy č. l00113/2009 uzavřené dne 19.8.2009, </w:t>
      </w:r>
    </w:p>
    <w:p w14:paraId="2A0484B6" w14:textId="77777777"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 xml:space="preserve">ve výši 91 281 Kč sjednané se společností </w:t>
      </w:r>
      <w:proofErr w:type="spellStart"/>
      <w:r w:rsidRPr="00A60C72">
        <w:rPr>
          <w:rFonts w:ascii="Times New Roman" w:hAnsi="Times New Roman" w:cs="Times New Roman"/>
          <w:color w:val="auto"/>
        </w:rPr>
        <w:t>Gate</w:t>
      </w:r>
      <w:proofErr w:type="spellEnd"/>
      <w:r w:rsidRPr="00A60C72">
        <w:rPr>
          <w:rFonts w:ascii="Times New Roman" w:hAnsi="Times New Roman" w:cs="Times New Roman"/>
          <w:color w:val="auto"/>
        </w:rPr>
        <w:t xml:space="preserve"> restaurant s.r.o. za užívání nebytového prostoru č. 539/50 dle nájemní smlouvy č. 00238/2009 uzavřené dne 20.3.2009, </w:t>
      </w:r>
    </w:p>
    <w:p w14:paraId="0A63F6BD" w14:textId="77777777" w:rsidR="00F9054B" w:rsidRPr="00A60C72" w:rsidRDefault="00F9054B" w:rsidP="00F9054B">
      <w:pPr>
        <w:pStyle w:val="Default"/>
        <w:numPr>
          <w:ilvl w:val="2"/>
          <w:numId w:val="26"/>
        </w:numPr>
        <w:jc w:val="both"/>
        <w:rPr>
          <w:rFonts w:ascii="Times New Roman" w:hAnsi="Times New Roman" w:cs="Times New Roman"/>
          <w:color w:val="auto"/>
        </w:rPr>
      </w:pPr>
      <w:r w:rsidRPr="00A60C72">
        <w:rPr>
          <w:rFonts w:ascii="Times New Roman" w:hAnsi="Times New Roman" w:cs="Times New Roman"/>
          <w:color w:val="auto"/>
        </w:rPr>
        <w:t xml:space="preserve">ve výši 120 840 Kč sjednané s fyzickou osobou T. Q. za užívání nebytového prostoru č. 236/602 dle nájemní smlouvy č. 2015/0442/MO.DSM uzavřené v období 09/2015. Kontrolní skupině nebyl doložen způsob vymáhání neuhrazených kaucí. </w:t>
      </w:r>
    </w:p>
    <w:p w14:paraId="37FD621D" w14:textId="77777777" w:rsidR="00F9054B" w:rsidRPr="00A60C72" w:rsidRDefault="00F9054B" w:rsidP="00F9054B">
      <w:pPr>
        <w:pStyle w:val="Default"/>
        <w:numPr>
          <w:ilvl w:val="1"/>
          <w:numId w:val="26"/>
        </w:numPr>
        <w:jc w:val="both"/>
        <w:rPr>
          <w:rFonts w:ascii="Times New Roman" w:hAnsi="Times New Roman" w:cs="Times New Roman"/>
          <w:color w:val="auto"/>
        </w:rPr>
      </w:pPr>
    </w:p>
    <w:p w14:paraId="0EA9C7E2" w14:textId="4D519212"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5) na analytickém účtu 377 0321 – „Ostatní krátkodobé pohledávky – předpis sankcí minulých let – nebytové prostory“ ve výši 25 396,31 Kč byly evidovány pohledávky za společnostmi R2P, s.r.o. ve výši 21 387 Kč za období 2003-2012 za nebytový prostor č. 913 a Ani-Group s.r.o. ve výši 2</w:t>
      </w:r>
      <w:r w:rsidR="00E9002E">
        <w:rPr>
          <w:rFonts w:ascii="Times New Roman" w:hAnsi="Times New Roman" w:cs="Times New Roman"/>
          <w:color w:val="auto"/>
        </w:rPr>
        <w:t> </w:t>
      </w:r>
      <w:r w:rsidRPr="00A60C72">
        <w:rPr>
          <w:rFonts w:ascii="Times New Roman" w:hAnsi="Times New Roman" w:cs="Times New Roman"/>
          <w:color w:val="auto"/>
        </w:rPr>
        <w:t xml:space="preserve">553 Kč za období 2003-2012 za nebytový prostor č. 500 a pohledávka za fyzickou osobou M. B. ve výši 1 1456,31 Kč za období 2003-2012 za nebytový prostor č. 505. K inventurnímu soupisu nebyly doloženy žádné doklady, které by dokládaly vymáhání uvedených částek. </w:t>
      </w:r>
    </w:p>
    <w:p w14:paraId="2265D84F" w14:textId="77777777" w:rsidR="00F9054B" w:rsidRPr="00A60C72" w:rsidRDefault="00F9054B" w:rsidP="00F9054B">
      <w:pPr>
        <w:pStyle w:val="Default"/>
        <w:jc w:val="both"/>
        <w:rPr>
          <w:rFonts w:ascii="Times New Roman" w:hAnsi="Times New Roman" w:cs="Times New Roman"/>
          <w:color w:val="auto"/>
        </w:rPr>
      </w:pPr>
    </w:p>
    <w:p w14:paraId="382812CF" w14:textId="05D53568" w:rsidR="00F9054B" w:rsidRPr="00A60C72" w:rsidRDefault="00F9054B" w:rsidP="00F9054B">
      <w:pPr>
        <w:pStyle w:val="Default"/>
        <w:ind w:firstLine="708"/>
        <w:jc w:val="both"/>
        <w:rPr>
          <w:rFonts w:ascii="Times New Roman" w:hAnsi="Times New Roman" w:cs="Times New Roman"/>
          <w:color w:val="auto"/>
        </w:rPr>
      </w:pPr>
      <w:r w:rsidRPr="00A60C72">
        <w:rPr>
          <w:rFonts w:ascii="Times New Roman" w:hAnsi="Times New Roman" w:cs="Times New Roman"/>
          <w:color w:val="auto"/>
        </w:rPr>
        <w:t>V těchto případech nebylo postupováno dle ustanovení článků č. IV, V. a VI. „Směrnice Úřadu městské části Praha 8 o prominutí a odpisu nedobytných pohledávek městské části Praha 8“ ze dne 24.03.2024, neboť došlo k promlčení pohledávek a odpovědný orgán měl rozhodnout o</w:t>
      </w:r>
      <w:r>
        <w:rPr>
          <w:rFonts w:ascii="Times New Roman" w:hAnsi="Times New Roman" w:cs="Times New Roman"/>
          <w:color w:val="auto"/>
        </w:rPr>
        <w:t> </w:t>
      </w:r>
      <w:r w:rsidRPr="00A60C72">
        <w:rPr>
          <w:rFonts w:ascii="Times New Roman" w:hAnsi="Times New Roman" w:cs="Times New Roman"/>
          <w:color w:val="auto"/>
        </w:rPr>
        <w:t xml:space="preserve">jejich odepsání na základě předloženého Návrhu na prominutí a odpis nedobytné pohledávky městské části. </w:t>
      </w:r>
    </w:p>
    <w:p w14:paraId="74666D4E" w14:textId="77777777" w:rsidR="00F9054B" w:rsidRPr="00A60C72" w:rsidRDefault="00F9054B" w:rsidP="00F9054B">
      <w:pPr>
        <w:pStyle w:val="Default"/>
        <w:ind w:firstLine="708"/>
        <w:jc w:val="both"/>
        <w:rPr>
          <w:rFonts w:ascii="Times New Roman" w:hAnsi="Times New Roman" w:cs="Times New Roman"/>
          <w:color w:val="auto"/>
        </w:rPr>
      </w:pPr>
    </w:p>
    <w:p w14:paraId="187C4EF0" w14:textId="161F00FB"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6) na analytickém účtu 378 301 – Ostatní krátkodobé závazky - převod přeplatků B k inventarizaci 2024 na závazky a převod přeplatků NP k inventarizaci 2024 na závazky“ ve výši 5 149 196,95</w:t>
      </w:r>
      <w:r>
        <w:rPr>
          <w:rFonts w:ascii="Times New Roman" w:hAnsi="Times New Roman" w:cs="Times New Roman"/>
          <w:color w:val="auto"/>
        </w:rPr>
        <w:t> </w:t>
      </w:r>
      <w:r w:rsidRPr="00A60C72">
        <w:rPr>
          <w:rFonts w:ascii="Times New Roman" w:hAnsi="Times New Roman" w:cs="Times New Roman"/>
          <w:color w:val="auto"/>
        </w:rPr>
        <w:t>Kč byly evidovány nevrácené přeplatky z vyúčtování služeb v souvislosti s pronájmy bytových a</w:t>
      </w:r>
      <w:r>
        <w:rPr>
          <w:rFonts w:ascii="Times New Roman" w:hAnsi="Times New Roman" w:cs="Times New Roman"/>
          <w:color w:val="auto"/>
        </w:rPr>
        <w:t> </w:t>
      </w:r>
      <w:r w:rsidRPr="00A60C72">
        <w:rPr>
          <w:rFonts w:ascii="Times New Roman" w:hAnsi="Times New Roman" w:cs="Times New Roman"/>
          <w:color w:val="auto"/>
        </w:rPr>
        <w:t>nebytových prostor, z toho přeplatky z vyúčtování v souvislosti s pronájmy nebytových prostor za období od roku 1993 do roku 2015 v celkové výši 840 004,40 Kč a přeplatky z vyúčtování služeb v souvislosti s pronájmy bytů za období od roku 1992 do roku 2016 v celkové výši 3</w:t>
      </w:r>
      <w:r>
        <w:rPr>
          <w:rFonts w:ascii="Times New Roman" w:hAnsi="Times New Roman" w:cs="Times New Roman"/>
          <w:color w:val="auto"/>
        </w:rPr>
        <w:t> </w:t>
      </w:r>
      <w:r w:rsidRPr="00A60C72">
        <w:rPr>
          <w:rFonts w:ascii="Times New Roman" w:hAnsi="Times New Roman" w:cs="Times New Roman"/>
          <w:color w:val="auto"/>
        </w:rPr>
        <w:t>265</w:t>
      </w:r>
      <w:r>
        <w:rPr>
          <w:rFonts w:ascii="Times New Roman" w:hAnsi="Times New Roman" w:cs="Times New Roman"/>
          <w:color w:val="auto"/>
        </w:rPr>
        <w:t> </w:t>
      </w:r>
      <w:r w:rsidRPr="00A60C72">
        <w:rPr>
          <w:rFonts w:ascii="Times New Roman" w:hAnsi="Times New Roman" w:cs="Times New Roman"/>
          <w:color w:val="auto"/>
        </w:rPr>
        <w:t xml:space="preserve">860,66 Kč převzaté od správních firem AUSTIS správa s.r.o. a CENTRA a.s. s tím, že tyto přeplatky nebyly vráceny z důvodu dokladové nouze (byla známa pouze celková suma přeplatků). </w:t>
      </w:r>
    </w:p>
    <w:p w14:paraId="73ECFB91" w14:textId="77777777" w:rsidR="00F9054B" w:rsidRPr="00A60C72" w:rsidRDefault="00F9054B" w:rsidP="00F9054B">
      <w:pPr>
        <w:pStyle w:val="Default"/>
        <w:jc w:val="both"/>
        <w:rPr>
          <w:rFonts w:ascii="Times New Roman" w:hAnsi="Times New Roman" w:cs="Times New Roman"/>
          <w:color w:val="auto"/>
        </w:rPr>
      </w:pPr>
    </w:p>
    <w:p w14:paraId="657BD439" w14:textId="77777777" w:rsidR="00F9054B" w:rsidRPr="00A60C72" w:rsidRDefault="00F9054B" w:rsidP="00F9054B">
      <w:pPr>
        <w:pStyle w:val="Default"/>
        <w:ind w:firstLine="708"/>
        <w:jc w:val="both"/>
        <w:rPr>
          <w:rFonts w:ascii="Times New Roman" w:hAnsi="Times New Roman" w:cs="Times New Roman"/>
          <w:color w:val="auto"/>
        </w:rPr>
      </w:pPr>
      <w:r w:rsidRPr="00A60C72">
        <w:rPr>
          <w:rFonts w:ascii="Times New Roman" w:hAnsi="Times New Roman" w:cs="Times New Roman"/>
          <w:color w:val="auto"/>
        </w:rPr>
        <w:t xml:space="preserve">Na základě výše uvedených skutečností nebylo možné potvrdit, že účetnictví části podnikatelské činnosti spravované OSMS bylo v oblasti pohledávek a závazků vedeno správně, průkazně a srozumitelně, jak ukládá ustanovení § 8 odst. 1 zákona č. 563/1991 Sb., o účetnictví, ve znění pozdějších předpisů. Podle ustanovení § 5 zákona č. 563/1991 Sb., o účetnictví, ve znění pozdějších předpisů, se MČ pověřením jiné právnické osoby vedením svého účetnictví nezbavuje odpovědnosti za jeho vedení. </w:t>
      </w:r>
    </w:p>
    <w:p w14:paraId="5A8973EF" w14:textId="77777777" w:rsidR="00F9054B" w:rsidRPr="00A60C72" w:rsidRDefault="00F9054B" w:rsidP="00F9054B">
      <w:pPr>
        <w:pStyle w:val="Default"/>
        <w:jc w:val="both"/>
        <w:rPr>
          <w:rFonts w:ascii="Times New Roman" w:hAnsi="Times New Roman" w:cs="Times New Roman"/>
          <w:color w:val="auto"/>
        </w:rPr>
      </w:pPr>
    </w:p>
    <w:p w14:paraId="663180DF" w14:textId="77777777" w:rsidR="00F9054B" w:rsidRPr="00A60C72" w:rsidRDefault="00F9054B" w:rsidP="00F9054B">
      <w:pPr>
        <w:ind w:firstLine="708"/>
        <w:jc w:val="both"/>
        <w:rPr>
          <w:rFonts w:eastAsiaTheme="minorHAnsi"/>
          <w:lang w:eastAsia="en-US"/>
        </w:rPr>
      </w:pPr>
      <w:r w:rsidRPr="00A60C72">
        <w:rPr>
          <w:rFonts w:eastAsiaTheme="minorHAnsi"/>
          <w:lang w:eastAsia="en-US"/>
        </w:rPr>
        <w:t>MČ dostatečně nekontrolovala hospodaření se svým majetkem svěřeným do správy OSMS dle Příkazní smlouvy č. 2016/0202/OSM.DOBCH ve znění dodatků č. 1 až 6, čímž nedodržela ustanovení § 35 odstavce 1 zákona č. 131/2000 Sb., o hlavním městě Praze, ve znění pozdějších předpisů, podle kterého musí majetek hl. m. využívat účelně a hospodárně a kontrolovat hospodaření s tímto majetkem, a dále ustanovení § 35 odstavce 4, podle kterého je MČ povinna trvale sledovat, zda dlužníci včas a řádné plní své závazky, a zabezpečit, aby nedošlo k promlčení nebo zániku práv z těchto závazků vyplývajících.</w:t>
      </w:r>
    </w:p>
    <w:p w14:paraId="1429DE2E" w14:textId="77777777" w:rsidR="00F9054B" w:rsidRDefault="00F9054B" w:rsidP="00F9054B">
      <w:pPr>
        <w:jc w:val="both"/>
        <w:rPr>
          <w:highlight w:val="yellow"/>
        </w:rPr>
      </w:pPr>
    </w:p>
    <w:p w14:paraId="253D4528" w14:textId="77777777" w:rsidR="00F9054B" w:rsidRPr="00195FFA" w:rsidRDefault="00F9054B" w:rsidP="00F9054B">
      <w:pPr>
        <w:jc w:val="both"/>
        <w:rPr>
          <w:b/>
          <w:bCs/>
        </w:rPr>
      </w:pPr>
      <w:bookmarkStart w:id="0" w:name="_Hlk197419185"/>
      <w:r w:rsidRPr="00A60C72">
        <w:rPr>
          <w:b/>
          <w:bCs/>
        </w:rPr>
        <w:t>Náprava:</w:t>
      </w:r>
    </w:p>
    <w:bookmarkEnd w:id="0"/>
    <w:p w14:paraId="3A92DD15" w14:textId="77777777" w:rsidR="00F9054B" w:rsidRPr="00A60C72" w:rsidRDefault="00F9054B" w:rsidP="00F9054B">
      <w:pPr>
        <w:pStyle w:val="Odstavecseseznamem"/>
        <w:numPr>
          <w:ilvl w:val="0"/>
          <w:numId w:val="27"/>
        </w:numPr>
        <w:jc w:val="both"/>
        <w:rPr>
          <w:szCs w:val="24"/>
        </w:rPr>
      </w:pPr>
      <w:r w:rsidRPr="00A60C72">
        <w:rPr>
          <w:szCs w:val="24"/>
        </w:rPr>
        <w:t>OSMS, a.s. ve spolupráci s gesčním odborem OSM zajistí odpis promlčených pohledávek</w:t>
      </w:r>
      <w:r>
        <w:rPr>
          <w:szCs w:val="24"/>
        </w:rPr>
        <w:t xml:space="preserve"> dle výše uvedeného</w:t>
      </w:r>
      <w:r w:rsidRPr="00A60C72">
        <w:rPr>
          <w:szCs w:val="24"/>
        </w:rPr>
        <w:t xml:space="preserve">, u kterých je dokladová nouze, a to dle ustanovení článků č. IV, V. a VI. „Směrnice Úřadu městské části Praha 8 o prominutí a odpisu nedobytných pohledávek městské části Praha 8“ ze dne 24.03.2024. </w:t>
      </w:r>
      <w:r>
        <w:rPr>
          <w:szCs w:val="24"/>
        </w:rPr>
        <w:t>Schválené odepisování promlčených pohledávek bude účtováno postupně do jednotlivých let tak</w:t>
      </w:r>
      <w:r w:rsidRPr="00A60C72">
        <w:rPr>
          <w:szCs w:val="24"/>
        </w:rPr>
        <w:t xml:space="preserve">, aby nebyla vykázána hospodářská ztráta OSMS, </w:t>
      </w:r>
      <w:r w:rsidRPr="00A60C72">
        <w:rPr>
          <w:szCs w:val="24"/>
        </w:rPr>
        <w:lastRenderedPageBreak/>
        <w:t xml:space="preserve">a.s., ke konci roku. </w:t>
      </w:r>
    </w:p>
    <w:p w14:paraId="2F384865" w14:textId="77777777" w:rsidR="00F9054B" w:rsidRPr="00195FFA" w:rsidRDefault="00F9054B" w:rsidP="00F9054B">
      <w:pPr>
        <w:jc w:val="both"/>
      </w:pPr>
      <w:r w:rsidRPr="00195FFA">
        <w:rPr>
          <w:u w:val="single"/>
        </w:rPr>
        <w:t>Odpovědná osoba</w:t>
      </w:r>
      <w:r w:rsidRPr="00195FFA">
        <w:t>: vedoucí OSM</w:t>
      </w:r>
    </w:p>
    <w:p w14:paraId="1D3E1566" w14:textId="77777777" w:rsidR="00F9054B" w:rsidRPr="00195FFA" w:rsidRDefault="00F9054B" w:rsidP="00F9054B">
      <w:pPr>
        <w:jc w:val="both"/>
      </w:pPr>
      <w:r w:rsidRPr="00195FFA">
        <w:rPr>
          <w:u w:val="single"/>
        </w:rPr>
        <w:t>Termín</w:t>
      </w:r>
      <w:r w:rsidRPr="00195FFA">
        <w:t xml:space="preserve">: </w:t>
      </w:r>
      <w:r w:rsidRPr="00A60C72">
        <w:t>3</w:t>
      </w:r>
      <w:r w:rsidRPr="00195FFA">
        <w:t>1.</w:t>
      </w:r>
      <w:r w:rsidRPr="00A60C72">
        <w:t>12</w:t>
      </w:r>
      <w:r w:rsidRPr="00195FFA">
        <w:t>.2025</w:t>
      </w:r>
    </w:p>
    <w:p w14:paraId="71C7A133" w14:textId="77777777" w:rsidR="00F9054B" w:rsidRPr="00195FFA" w:rsidRDefault="00F9054B" w:rsidP="00F9054B">
      <w:pPr>
        <w:jc w:val="both"/>
      </w:pPr>
    </w:p>
    <w:p w14:paraId="128015BF" w14:textId="782EC21E" w:rsidR="00F9054B" w:rsidRPr="00195FFA" w:rsidRDefault="00F9054B" w:rsidP="00F9054B">
      <w:pPr>
        <w:pStyle w:val="Odstavecseseznamem"/>
        <w:numPr>
          <w:ilvl w:val="0"/>
          <w:numId w:val="27"/>
        </w:numPr>
        <w:jc w:val="both"/>
        <w:rPr>
          <w:szCs w:val="24"/>
        </w:rPr>
      </w:pPr>
      <w:r w:rsidRPr="00195FFA">
        <w:rPr>
          <w:szCs w:val="24"/>
        </w:rPr>
        <w:t>OSMS, a.s. byli proškoleni o nutnosti dodržovat § 29 odst. 1 a § 30 odst. 7 zákona č. 563/1991 Sb., o účetnictví, ve znění pozdějších předpisů, který stanoví, že účetní jednotka zjišťuje skutečný stav veškerého majetku a závazků, a to podle inventurních soupisů, které jsou průkaznými účetními doklady.</w:t>
      </w:r>
      <w:r>
        <w:rPr>
          <w:szCs w:val="24"/>
        </w:rPr>
        <w:t xml:space="preserve"> Přitom bude postupováno podle dle vyhlášky č. 270/2010 Sb. o inventarizaci majetku a závazků.</w:t>
      </w:r>
      <w:r w:rsidRPr="00195FFA">
        <w:rPr>
          <w:szCs w:val="24"/>
        </w:rPr>
        <w:t xml:space="preserve"> Budou zpracovány položkové inventurní soupisy mimořádné inventarizace k 30.</w:t>
      </w:r>
      <w:r w:rsidR="004B7FDC">
        <w:rPr>
          <w:szCs w:val="24"/>
        </w:rPr>
        <w:t>0</w:t>
      </w:r>
      <w:r w:rsidRPr="00195FFA">
        <w:rPr>
          <w:szCs w:val="24"/>
        </w:rPr>
        <w:t>6.2025 u účtů nedostatečně doložených</w:t>
      </w:r>
      <w:r w:rsidRPr="00A60C72">
        <w:rPr>
          <w:szCs w:val="24"/>
        </w:rPr>
        <w:t xml:space="preserve"> v rámci inventarizace</w:t>
      </w:r>
      <w:r w:rsidRPr="00195FFA">
        <w:rPr>
          <w:szCs w:val="24"/>
        </w:rPr>
        <w:t xml:space="preserve"> k 31.12.2024.</w:t>
      </w:r>
    </w:p>
    <w:p w14:paraId="56CEE95F" w14:textId="77777777" w:rsidR="00F9054B" w:rsidRPr="00195FFA" w:rsidRDefault="00F9054B" w:rsidP="00F9054B">
      <w:pPr>
        <w:jc w:val="both"/>
      </w:pPr>
      <w:r w:rsidRPr="00195FFA">
        <w:rPr>
          <w:u w:val="single"/>
        </w:rPr>
        <w:t>Odpovědná osoba</w:t>
      </w:r>
      <w:r w:rsidRPr="00195FFA">
        <w:t>: vedoucí OSM</w:t>
      </w:r>
    </w:p>
    <w:p w14:paraId="5ADBC910" w14:textId="77777777" w:rsidR="00F9054B" w:rsidRPr="00195FFA" w:rsidRDefault="00F9054B" w:rsidP="00F9054B">
      <w:pPr>
        <w:jc w:val="both"/>
      </w:pPr>
      <w:r w:rsidRPr="00195FFA">
        <w:rPr>
          <w:u w:val="single"/>
        </w:rPr>
        <w:t>Termín</w:t>
      </w:r>
      <w:r w:rsidRPr="00195FFA">
        <w:t>: 3</w:t>
      </w:r>
      <w:r w:rsidRPr="00A60C72">
        <w:t>1</w:t>
      </w:r>
      <w:r w:rsidRPr="00195FFA">
        <w:t>.</w:t>
      </w:r>
      <w:r w:rsidRPr="00A60C72">
        <w:t>12</w:t>
      </w:r>
      <w:r w:rsidRPr="00195FFA">
        <w:t>.2025</w:t>
      </w:r>
    </w:p>
    <w:p w14:paraId="3CBD45B3" w14:textId="77777777" w:rsidR="00F9054B" w:rsidRPr="00195FFA" w:rsidRDefault="00F9054B" w:rsidP="00F9054B">
      <w:pPr>
        <w:jc w:val="both"/>
      </w:pPr>
    </w:p>
    <w:p w14:paraId="4427CA88" w14:textId="6082EF18" w:rsidR="00F9054B" w:rsidRPr="00195FFA" w:rsidRDefault="00F9054B" w:rsidP="00F9054B">
      <w:pPr>
        <w:pStyle w:val="Odstavecseseznamem"/>
        <w:numPr>
          <w:ilvl w:val="0"/>
          <w:numId w:val="27"/>
        </w:numPr>
        <w:jc w:val="both"/>
        <w:rPr>
          <w:szCs w:val="24"/>
        </w:rPr>
      </w:pPr>
      <w:r w:rsidRPr="00195FFA">
        <w:rPr>
          <w:szCs w:val="24"/>
        </w:rPr>
        <w:t>OSMS, a.s. bude kontaktovat nájemce nebytových prostorů s požadavkem doložit doklad o</w:t>
      </w:r>
      <w:r w:rsidR="00FE7199">
        <w:rPr>
          <w:szCs w:val="24"/>
        </w:rPr>
        <w:t> </w:t>
      </w:r>
      <w:r w:rsidRPr="00195FFA">
        <w:rPr>
          <w:szCs w:val="24"/>
        </w:rPr>
        <w:t xml:space="preserve">úhradě kauce. </w:t>
      </w:r>
    </w:p>
    <w:p w14:paraId="45918977" w14:textId="77777777" w:rsidR="00F9054B" w:rsidRPr="00195FFA" w:rsidRDefault="00F9054B" w:rsidP="00F9054B">
      <w:pPr>
        <w:jc w:val="both"/>
      </w:pPr>
      <w:r w:rsidRPr="00195FFA">
        <w:rPr>
          <w:u w:val="single"/>
        </w:rPr>
        <w:t>Odpovědná osoba</w:t>
      </w:r>
      <w:r w:rsidRPr="00195FFA">
        <w:t>: vedoucí OSM</w:t>
      </w:r>
    </w:p>
    <w:p w14:paraId="7B536DB3" w14:textId="77777777" w:rsidR="00F9054B" w:rsidRPr="00195FFA" w:rsidRDefault="00F9054B" w:rsidP="00F9054B">
      <w:pPr>
        <w:jc w:val="both"/>
      </w:pPr>
      <w:r w:rsidRPr="00195FFA">
        <w:rPr>
          <w:u w:val="single"/>
        </w:rPr>
        <w:t>Termín</w:t>
      </w:r>
      <w:r w:rsidRPr="00195FFA">
        <w:t>: 31.</w:t>
      </w:r>
      <w:r w:rsidRPr="00A60C72">
        <w:t>12</w:t>
      </w:r>
      <w:r w:rsidRPr="00195FFA">
        <w:t>.2025</w:t>
      </w:r>
    </w:p>
    <w:p w14:paraId="4AA45334" w14:textId="77777777" w:rsidR="00F9054B" w:rsidRPr="00195FFA" w:rsidRDefault="00F9054B" w:rsidP="00F9054B">
      <w:pPr>
        <w:jc w:val="both"/>
      </w:pPr>
    </w:p>
    <w:p w14:paraId="1D18D061" w14:textId="6A4E7AF2" w:rsidR="00F9054B" w:rsidRPr="00195FFA" w:rsidRDefault="00F9054B" w:rsidP="00F9054B">
      <w:pPr>
        <w:pStyle w:val="Odstavecseseznamem"/>
        <w:numPr>
          <w:ilvl w:val="0"/>
          <w:numId w:val="27"/>
        </w:numPr>
        <w:jc w:val="both"/>
        <w:rPr>
          <w:szCs w:val="24"/>
        </w:rPr>
      </w:pPr>
      <w:r w:rsidRPr="00195FFA">
        <w:rPr>
          <w:szCs w:val="24"/>
        </w:rPr>
        <w:t xml:space="preserve">OSMS, a.s. </w:t>
      </w:r>
      <w:r>
        <w:rPr>
          <w:szCs w:val="24"/>
        </w:rPr>
        <w:t>zaúčtuje</w:t>
      </w:r>
      <w:r w:rsidRPr="00195FFA">
        <w:rPr>
          <w:szCs w:val="24"/>
        </w:rPr>
        <w:t xml:space="preserve"> do mimořádných výnosů nevrácené přeplatky na analytickém účtu 378</w:t>
      </w:r>
      <w:r w:rsidR="006A13FA">
        <w:rPr>
          <w:szCs w:val="24"/>
        </w:rPr>
        <w:t> </w:t>
      </w:r>
      <w:r w:rsidRPr="00195FFA">
        <w:rPr>
          <w:szCs w:val="24"/>
        </w:rPr>
        <w:t>301 – Ostatní krátkodobé závazky</w:t>
      </w:r>
      <w:r>
        <w:rPr>
          <w:szCs w:val="24"/>
        </w:rPr>
        <w:t xml:space="preserve"> vykázané k 31.12.2024.</w:t>
      </w:r>
    </w:p>
    <w:p w14:paraId="5BFECE96" w14:textId="77777777" w:rsidR="00F9054B" w:rsidRPr="00195FFA" w:rsidRDefault="00F9054B" w:rsidP="00F9054B">
      <w:pPr>
        <w:jc w:val="both"/>
      </w:pPr>
      <w:bookmarkStart w:id="1" w:name="_Hlk197419593"/>
      <w:r w:rsidRPr="00195FFA">
        <w:rPr>
          <w:u w:val="single"/>
        </w:rPr>
        <w:t>Odpovědná osoba</w:t>
      </w:r>
      <w:r w:rsidRPr="00195FFA">
        <w:t>: vedoucí OSM</w:t>
      </w:r>
    </w:p>
    <w:p w14:paraId="594836EB" w14:textId="77777777" w:rsidR="00F9054B" w:rsidRPr="00195FFA" w:rsidRDefault="00F9054B" w:rsidP="00F9054B">
      <w:pPr>
        <w:jc w:val="both"/>
      </w:pPr>
      <w:r w:rsidRPr="00195FFA">
        <w:rPr>
          <w:u w:val="single"/>
        </w:rPr>
        <w:t>Termín</w:t>
      </w:r>
      <w:r w:rsidRPr="00195FFA">
        <w:t xml:space="preserve">: </w:t>
      </w:r>
      <w:r w:rsidRPr="00A60C72">
        <w:t>31</w:t>
      </w:r>
      <w:r w:rsidRPr="00195FFA">
        <w:t>.</w:t>
      </w:r>
      <w:r w:rsidRPr="00A60C72">
        <w:t>12</w:t>
      </w:r>
      <w:r w:rsidRPr="00195FFA">
        <w:t>.2025</w:t>
      </w:r>
    </w:p>
    <w:bookmarkEnd w:id="1"/>
    <w:p w14:paraId="426FBAD3" w14:textId="77777777" w:rsidR="00F9054B" w:rsidRDefault="00F9054B" w:rsidP="00F9054B">
      <w:pPr>
        <w:jc w:val="both"/>
      </w:pPr>
    </w:p>
    <w:p w14:paraId="535F083E" w14:textId="77777777" w:rsidR="00F9054B" w:rsidRDefault="00F9054B" w:rsidP="00F9054B">
      <w:pPr>
        <w:jc w:val="both"/>
      </w:pPr>
    </w:p>
    <w:p w14:paraId="7FCC1952" w14:textId="77777777" w:rsidR="00F9054B" w:rsidRPr="00A60C72" w:rsidRDefault="00F9054B" w:rsidP="00F9054B">
      <w:pPr>
        <w:pStyle w:val="Default"/>
        <w:jc w:val="both"/>
        <w:rPr>
          <w:rFonts w:ascii="Times New Roman" w:hAnsi="Times New Roman" w:cs="Times New Roman"/>
        </w:rPr>
      </w:pPr>
      <w:r>
        <w:rPr>
          <w:rFonts w:ascii="Times New Roman" w:hAnsi="Times New Roman" w:cs="Times New Roman"/>
          <w:b/>
          <w:bCs/>
          <w:color w:val="auto"/>
        </w:rPr>
        <w:t>2</w:t>
      </w:r>
      <w:r w:rsidRPr="00A60C72">
        <w:rPr>
          <w:rFonts w:ascii="Times New Roman" w:hAnsi="Times New Roman" w:cs="Times New Roman"/>
          <w:b/>
          <w:bCs/>
          <w:color w:val="auto"/>
        </w:rPr>
        <w:t>)</w:t>
      </w:r>
    </w:p>
    <w:p w14:paraId="53F46715" w14:textId="77777777" w:rsidR="00F9054B" w:rsidRPr="00A60C72" w:rsidRDefault="00F9054B" w:rsidP="00F9054B">
      <w:pPr>
        <w:pStyle w:val="Default"/>
        <w:numPr>
          <w:ilvl w:val="0"/>
          <w:numId w:val="29"/>
        </w:numPr>
        <w:jc w:val="both"/>
        <w:rPr>
          <w:rFonts w:ascii="Times New Roman" w:hAnsi="Times New Roman" w:cs="Times New Roman"/>
          <w:i/>
          <w:iCs/>
        </w:rPr>
      </w:pPr>
      <w:r w:rsidRPr="00A60C72">
        <w:rPr>
          <w:rFonts w:ascii="Times New Roman" w:hAnsi="Times New Roman" w:cs="Times New Roman"/>
          <w:i/>
          <w:iCs/>
        </w:rPr>
        <w:t xml:space="preserve">ustanovení § 35 odst. 4 </w:t>
      </w:r>
    </w:p>
    <w:p w14:paraId="62237A0D" w14:textId="77777777" w:rsidR="00F9054B" w:rsidRPr="00A60C72" w:rsidRDefault="00F9054B" w:rsidP="00F9054B">
      <w:pPr>
        <w:pStyle w:val="Default"/>
        <w:jc w:val="both"/>
        <w:rPr>
          <w:rFonts w:ascii="Times New Roman" w:hAnsi="Times New Roman" w:cs="Times New Roman"/>
        </w:rPr>
      </w:pPr>
    </w:p>
    <w:p w14:paraId="060E345F" w14:textId="6AA7BB22" w:rsidR="00F9054B" w:rsidRPr="00A60C72" w:rsidRDefault="00F9054B" w:rsidP="00F9054B">
      <w:pPr>
        <w:pStyle w:val="Default"/>
        <w:ind w:firstLine="360"/>
        <w:jc w:val="both"/>
        <w:rPr>
          <w:rFonts w:ascii="Times New Roman" w:hAnsi="Times New Roman" w:cs="Times New Roman"/>
        </w:rPr>
      </w:pPr>
      <w:r w:rsidRPr="00A60C72">
        <w:rPr>
          <w:rFonts w:ascii="Times New Roman" w:hAnsi="Times New Roman" w:cs="Times New Roman"/>
        </w:rPr>
        <w:t>Kontrolou inventarizace krátkodobých pohledávek podnikatelské činnosti evidovaných na</w:t>
      </w:r>
      <w:r w:rsidR="00FE7199">
        <w:rPr>
          <w:rFonts w:ascii="Times New Roman" w:hAnsi="Times New Roman" w:cs="Times New Roman"/>
        </w:rPr>
        <w:t> </w:t>
      </w:r>
      <w:r w:rsidRPr="00A60C72">
        <w:rPr>
          <w:rFonts w:ascii="Times New Roman" w:hAnsi="Times New Roman" w:cs="Times New Roman"/>
        </w:rPr>
        <w:t>účtu 377 318 - "Ostatní krátkodobé pohledávky - předpis pronájmů pozemků" bylo zjištěno, že</w:t>
      </w:r>
      <w:r w:rsidR="00FE7199">
        <w:rPr>
          <w:rFonts w:ascii="Times New Roman" w:hAnsi="Times New Roman" w:cs="Times New Roman"/>
        </w:rPr>
        <w:t> </w:t>
      </w:r>
      <w:r w:rsidRPr="00A60C72">
        <w:rPr>
          <w:rFonts w:ascii="Times New Roman" w:hAnsi="Times New Roman" w:cs="Times New Roman"/>
        </w:rPr>
        <w:t xml:space="preserve">k 31.12.2024 byly vykázány pohledávky po splatnosti, které nebyly k 31.12.2024 vymáhány, např.: </w:t>
      </w:r>
    </w:p>
    <w:p w14:paraId="69FBC659" w14:textId="357EE15B"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pohledávka ve výši 217 736 Kč za pronájem pozemku parc. č. 527/64,65 v k.ú. Střížkov ze</w:t>
      </w:r>
      <w:r w:rsidR="00FE7199">
        <w:rPr>
          <w:rFonts w:ascii="Times New Roman" w:hAnsi="Times New Roman" w:cs="Times New Roman"/>
        </w:rPr>
        <w:t> </w:t>
      </w:r>
      <w:r w:rsidRPr="00A60C72">
        <w:rPr>
          <w:rFonts w:ascii="Times New Roman" w:hAnsi="Times New Roman" w:cs="Times New Roman"/>
        </w:rPr>
        <w:t xml:space="preserve">dne 01.04.2023 za společností IPODEC - ČISTÉ MĚSTO, a.s., </w:t>
      </w:r>
    </w:p>
    <w:p w14:paraId="7AF53A1E"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pohledávka ve výši 3 230 Kč za pronájem pozemku parc. č. 257/4 v k.ú. Karlín ze dne 01.02.2022 za fyzickou osobou I. S., </w:t>
      </w:r>
    </w:p>
    <w:p w14:paraId="2CC37F6B"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pohledávka ve výši 1 615 Kč za pronájem pozemku parc. č. 257/3 v k.ú. Karlín ze dne 01.04.2023 za fyzickou osobou J. R., </w:t>
      </w:r>
    </w:p>
    <w:p w14:paraId="62FC02B6"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pohledávka ve výši 7 225 Kč za pronájem části pozemku parc. č. 3584 v k.ú. Libeň ze dne 01.03.2024 za fyzickou osobou Ing. J. Z. na prodej části pozemku do vlastnictví SOL Rezidence s.r.o. dle Kupní smlouvy č. 2024/0108/OSM.DOBCH ze dne 02.04.2024. riziko promlčení pohledávek MČ v důsledku nečinnosti MČ při jejich vymáhání. </w:t>
      </w:r>
    </w:p>
    <w:p w14:paraId="7900EDF5" w14:textId="77777777" w:rsidR="00F9054B" w:rsidRPr="00A60C72" w:rsidRDefault="00F9054B" w:rsidP="00F9054B">
      <w:pPr>
        <w:pStyle w:val="Default"/>
        <w:jc w:val="both"/>
        <w:rPr>
          <w:rFonts w:ascii="Times New Roman" w:hAnsi="Times New Roman" w:cs="Times New Roman"/>
        </w:rPr>
      </w:pPr>
    </w:p>
    <w:p w14:paraId="33B5DB26" w14:textId="77777777" w:rsidR="00F9054B" w:rsidRPr="00A60C72" w:rsidRDefault="00F9054B" w:rsidP="00F9054B">
      <w:pPr>
        <w:pStyle w:val="Default"/>
        <w:ind w:firstLine="360"/>
        <w:jc w:val="both"/>
        <w:rPr>
          <w:rFonts w:ascii="Times New Roman" w:hAnsi="Times New Roman" w:cs="Times New Roman"/>
        </w:rPr>
      </w:pPr>
      <w:r w:rsidRPr="00A60C72">
        <w:rPr>
          <w:rFonts w:ascii="Times New Roman" w:hAnsi="Times New Roman" w:cs="Times New Roman"/>
        </w:rPr>
        <w:t xml:space="preserve">Nebylo tak možno ověřit, zda byly krátkodobé pohledávky podnikatelské činnosti v účetnictví MČ ke dni 31.12.2024 vykázány správně. MČ neměla v této oblasti dostatečně funkční kontrolní systém, který by zajišťoval, aby byly plněny povinnosti MČ ve smyslu ustanovení § 35 odst. 4 zákona č. 131/2000 Sb., o hlavním městě Praze, ve znění pozdějších předpisů, podle kterého jsou městské části povinny trvale sledovat, zda dlužníci včas a řádně plní své závazky, a zabezpečit, aby nedošlo k promlčení nebo zániku práv z těchto závazků vyplývajících. </w:t>
      </w:r>
    </w:p>
    <w:p w14:paraId="62A5001E" w14:textId="77777777" w:rsidR="00F9054B" w:rsidRPr="00A60C72" w:rsidRDefault="00F9054B" w:rsidP="00F9054B">
      <w:pPr>
        <w:jc w:val="both"/>
        <w:rPr>
          <w:rFonts w:eastAsiaTheme="minorHAnsi"/>
          <w:color w:val="000000"/>
          <w:u w:val="single"/>
          <w:lang w:eastAsia="en-US"/>
        </w:rPr>
      </w:pPr>
    </w:p>
    <w:p w14:paraId="130D7C8A" w14:textId="77777777" w:rsidR="00EF073A" w:rsidRDefault="00EF073A" w:rsidP="00F9054B">
      <w:pPr>
        <w:jc w:val="both"/>
        <w:rPr>
          <w:rFonts w:eastAsiaTheme="minorHAnsi"/>
          <w:color w:val="000000"/>
          <w:u w:val="single"/>
          <w:lang w:eastAsia="en-US"/>
        </w:rPr>
      </w:pPr>
    </w:p>
    <w:p w14:paraId="6F026B64" w14:textId="7BAC10CD" w:rsidR="00F9054B" w:rsidRPr="00A60C72" w:rsidRDefault="00F9054B" w:rsidP="00F9054B">
      <w:pPr>
        <w:jc w:val="both"/>
        <w:rPr>
          <w:rFonts w:eastAsiaTheme="minorHAnsi"/>
          <w:color w:val="000000"/>
          <w:u w:val="single"/>
          <w:lang w:eastAsia="en-US"/>
        </w:rPr>
      </w:pPr>
      <w:r w:rsidRPr="00A60C72">
        <w:rPr>
          <w:rFonts w:eastAsiaTheme="minorHAnsi"/>
          <w:color w:val="000000"/>
          <w:u w:val="single"/>
          <w:lang w:eastAsia="en-US"/>
        </w:rPr>
        <w:lastRenderedPageBreak/>
        <w:t>Upozornění na riziko, vyplývající z výše uvedených zjištěných skutečností:</w:t>
      </w:r>
    </w:p>
    <w:p w14:paraId="4ADEDC21" w14:textId="77777777" w:rsidR="00F9054B" w:rsidRPr="00195FFA" w:rsidRDefault="00F9054B" w:rsidP="00F9054B">
      <w:pPr>
        <w:jc w:val="both"/>
        <w:rPr>
          <w:rFonts w:eastAsiaTheme="minorHAnsi"/>
          <w:color w:val="000000"/>
          <w:lang w:eastAsia="en-US"/>
        </w:rPr>
      </w:pPr>
    </w:p>
    <w:p w14:paraId="62AFC11E"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riziko promlčení pohledávek MČ v důsledku nečinnosti MČ při jejich vymáhání.</w:t>
      </w:r>
    </w:p>
    <w:p w14:paraId="0B9081A8" w14:textId="77777777" w:rsidR="00F9054B" w:rsidRPr="00A60C72" w:rsidRDefault="00F9054B" w:rsidP="00F9054B">
      <w:pPr>
        <w:pStyle w:val="Default"/>
        <w:spacing w:after="15"/>
        <w:jc w:val="both"/>
        <w:rPr>
          <w:rFonts w:ascii="Times New Roman" w:hAnsi="Times New Roman" w:cs="Times New Roman"/>
        </w:rPr>
      </w:pPr>
    </w:p>
    <w:p w14:paraId="41CAB0C5" w14:textId="77777777" w:rsidR="00F9054B" w:rsidRPr="00195FFA" w:rsidRDefault="00F9054B" w:rsidP="00F9054B">
      <w:pPr>
        <w:jc w:val="both"/>
        <w:rPr>
          <w:b/>
          <w:bCs/>
        </w:rPr>
      </w:pPr>
      <w:r w:rsidRPr="00A60C72">
        <w:rPr>
          <w:b/>
          <w:bCs/>
        </w:rPr>
        <w:t>Náprava:</w:t>
      </w:r>
    </w:p>
    <w:p w14:paraId="17EC4BE3" w14:textId="77777777" w:rsidR="00F9054B" w:rsidRPr="00195FFA" w:rsidRDefault="00F9054B" w:rsidP="00F9054B">
      <w:pPr>
        <w:jc w:val="both"/>
      </w:pPr>
      <w:r w:rsidRPr="00A60C72">
        <w:t>OSM bude písemně kontaktovat dlužníky k úhradě dlužných částek za pronájem pozemků.</w:t>
      </w:r>
    </w:p>
    <w:p w14:paraId="1CA93CAC" w14:textId="77777777" w:rsidR="00F9054B" w:rsidRPr="00195FFA" w:rsidRDefault="00F9054B" w:rsidP="00F9054B">
      <w:pPr>
        <w:jc w:val="both"/>
      </w:pPr>
      <w:r w:rsidRPr="00195FFA">
        <w:rPr>
          <w:u w:val="single"/>
        </w:rPr>
        <w:t>Odpovědná osoba</w:t>
      </w:r>
      <w:r w:rsidRPr="00195FFA">
        <w:t>: vedoucí OSM</w:t>
      </w:r>
    </w:p>
    <w:p w14:paraId="23894F1A" w14:textId="77777777" w:rsidR="00F9054B" w:rsidRPr="00A60C72" w:rsidRDefault="00F9054B" w:rsidP="00F9054B">
      <w:pPr>
        <w:jc w:val="both"/>
      </w:pPr>
      <w:r w:rsidRPr="00195FFA">
        <w:rPr>
          <w:u w:val="single"/>
        </w:rPr>
        <w:t>Termín</w:t>
      </w:r>
      <w:r w:rsidRPr="00195FFA">
        <w:t xml:space="preserve">: </w:t>
      </w:r>
      <w:r w:rsidRPr="00A60C72">
        <w:t>30</w:t>
      </w:r>
      <w:r w:rsidRPr="00195FFA">
        <w:t>.</w:t>
      </w:r>
      <w:r w:rsidRPr="00A60C72">
        <w:t>9</w:t>
      </w:r>
      <w:r w:rsidRPr="00195FFA">
        <w:t>.2025</w:t>
      </w:r>
    </w:p>
    <w:p w14:paraId="65AC7042" w14:textId="77777777" w:rsidR="00F9054B" w:rsidRDefault="00F9054B" w:rsidP="00F9054B">
      <w:pPr>
        <w:jc w:val="both"/>
      </w:pPr>
    </w:p>
    <w:p w14:paraId="235B8FAF" w14:textId="77777777" w:rsidR="00F9054B" w:rsidRPr="00A60C72" w:rsidRDefault="00F9054B" w:rsidP="00F9054B">
      <w:pPr>
        <w:jc w:val="both"/>
      </w:pPr>
    </w:p>
    <w:p w14:paraId="0AA40225" w14:textId="77777777" w:rsidR="00F9054B" w:rsidRPr="00A60C72" w:rsidRDefault="00F9054B" w:rsidP="00F9054B">
      <w:pPr>
        <w:pStyle w:val="Default"/>
        <w:jc w:val="both"/>
        <w:rPr>
          <w:rFonts w:ascii="Times New Roman" w:hAnsi="Times New Roman" w:cs="Times New Roman"/>
          <w:b/>
          <w:bCs/>
          <w:color w:val="auto"/>
        </w:rPr>
      </w:pPr>
      <w:r>
        <w:rPr>
          <w:rFonts w:ascii="Times New Roman" w:hAnsi="Times New Roman" w:cs="Times New Roman"/>
          <w:b/>
          <w:bCs/>
          <w:color w:val="auto"/>
        </w:rPr>
        <w:t>3</w:t>
      </w:r>
      <w:r w:rsidRPr="00A60C72">
        <w:rPr>
          <w:rFonts w:ascii="Times New Roman" w:hAnsi="Times New Roman" w:cs="Times New Roman"/>
          <w:b/>
          <w:bCs/>
          <w:color w:val="auto"/>
        </w:rPr>
        <w:t>)</w:t>
      </w:r>
    </w:p>
    <w:p w14:paraId="50F3098D" w14:textId="0562FCA1" w:rsidR="00F9054B" w:rsidRPr="00A60C72" w:rsidRDefault="00F9054B" w:rsidP="00F9054B">
      <w:pPr>
        <w:pStyle w:val="Default"/>
        <w:jc w:val="both"/>
        <w:rPr>
          <w:rFonts w:ascii="Times New Roman" w:hAnsi="Times New Roman" w:cs="Times New Roman"/>
          <w:u w:val="single"/>
        </w:rPr>
      </w:pPr>
      <w:r w:rsidRPr="00A60C72">
        <w:rPr>
          <w:rFonts w:ascii="Times New Roman" w:hAnsi="Times New Roman" w:cs="Times New Roman"/>
          <w:u w:val="single"/>
        </w:rPr>
        <w:t>Předmět: Zákon č. 420/2004 Sb. § 2 odst. 2 písm. a) nakládání a hospodaření s majetkem ve</w:t>
      </w:r>
      <w:r w:rsidR="00194390">
        <w:rPr>
          <w:rFonts w:ascii="Times New Roman" w:hAnsi="Times New Roman" w:cs="Times New Roman"/>
          <w:u w:val="single"/>
        </w:rPr>
        <w:t> </w:t>
      </w:r>
      <w:r w:rsidRPr="00A60C72">
        <w:rPr>
          <w:rFonts w:ascii="Times New Roman" w:hAnsi="Times New Roman" w:cs="Times New Roman"/>
          <w:u w:val="single"/>
        </w:rPr>
        <w:t xml:space="preserve">vlastnictví územního celku </w:t>
      </w:r>
    </w:p>
    <w:p w14:paraId="16C24456" w14:textId="77777777" w:rsidR="00F9054B" w:rsidRPr="00A60C72" w:rsidRDefault="00F9054B" w:rsidP="00F9054B">
      <w:pPr>
        <w:pStyle w:val="Default"/>
        <w:jc w:val="both"/>
        <w:rPr>
          <w:rFonts w:ascii="Times New Roman" w:hAnsi="Times New Roman" w:cs="Times New Roman"/>
        </w:rPr>
      </w:pPr>
    </w:p>
    <w:p w14:paraId="35C4501D" w14:textId="3EC87983" w:rsidR="00F9054B" w:rsidRPr="00A60C72" w:rsidRDefault="00F9054B" w:rsidP="00F9054B">
      <w:pPr>
        <w:pStyle w:val="Default"/>
        <w:jc w:val="both"/>
        <w:rPr>
          <w:rFonts w:ascii="Times New Roman" w:hAnsi="Times New Roman" w:cs="Times New Roman"/>
        </w:rPr>
      </w:pPr>
      <w:r w:rsidRPr="00A60C72">
        <w:rPr>
          <w:rFonts w:ascii="Times New Roman" w:hAnsi="Times New Roman" w:cs="Times New Roman"/>
          <w:i/>
          <w:iCs/>
        </w:rPr>
        <w:t>Právní předpis: Vyhláška č. 410/2009 Sb., kterou se provádějí některá ustanovení zákona č. 563/1991 Sb., o účetnictví, ve znění pozdějších předpisů, pro některé vybrané účetní jednotky, ve</w:t>
      </w:r>
      <w:r w:rsidR="00194390">
        <w:rPr>
          <w:rFonts w:ascii="Times New Roman" w:hAnsi="Times New Roman" w:cs="Times New Roman"/>
          <w:i/>
          <w:iCs/>
        </w:rPr>
        <w:t> </w:t>
      </w:r>
      <w:r w:rsidRPr="00A60C72">
        <w:rPr>
          <w:rFonts w:ascii="Times New Roman" w:hAnsi="Times New Roman" w:cs="Times New Roman"/>
          <w:i/>
          <w:iCs/>
        </w:rPr>
        <w:t xml:space="preserve">znění pozdějších předpisů </w:t>
      </w:r>
    </w:p>
    <w:p w14:paraId="47423D34" w14:textId="77777777" w:rsidR="00F9054B" w:rsidRPr="00A60C72" w:rsidRDefault="00F9054B" w:rsidP="00F9054B">
      <w:pPr>
        <w:pStyle w:val="Default"/>
        <w:jc w:val="both"/>
        <w:rPr>
          <w:rFonts w:ascii="Times New Roman" w:hAnsi="Times New Roman" w:cs="Times New Roman"/>
        </w:rPr>
      </w:pPr>
    </w:p>
    <w:p w14:paraId="5332D778" w14:textId="77777777" w:rsidR="00F9054B" w:rsidRPr="00A60C72" w:rsidRDefault="00F9054B" w:rsidP="00F9054B">
      <w:pPr>
        <w:pStyle w:val="Default"/>
        <w:numPr>
          <w:ilvl w:val="0"/>
          <w:numId w:val="28"/>
        </w:numPr>
        <w:jc w:val="both"/>
        <w:rPr>
          <w:rFonts w:ascii="Times New Roman" w:hAnsi="Times New Roman" w:cs="Times New Roman"/>
        </w:rPr>
      </w:pPr>
      <w:r w:rsidRPr="00A60C72">
        <w:rPr>
          <w:rFonts w:ascii="Times New Roman" w:hAnsi="Times New Roman" w:cs="Times New Roman"/>
          <w:i/>
          <w:iCs/>
        </w:rPr>
        <w:t xml:space="preserve">ustanovení § 14 odst. 12 </w:t>
      </w:r>
    </w:p>
    <w:p w14:paraId="6080FFCB" w14:textId="77777777" w:rsidR="00F9054B" w:rsidRPr="00A60C72" w:rsidRDefault="00F9054B" w:rsidP="00F9054B">
      <w:pPr>
        <w:pStyle w:val="Default"/>
        <w:jc w:val="both"/>
        <w:rPr>
          <w:rFonts w:ascii="Times New Roman" w:hAnsi="Times New Roman" w:cs="Times New Roman"/>
        </w:rPr>
      </w:pPr>
    </w:p>
    <w:p w14:paraId="4FE1E97C" w14:textId="58F6DF84" w:rsidR="00F9054B" w:rsidRPr="00A60C72" w:rsidRDefault="00F9054B" w:rsidP="00F9054B">
      <w:pPr>
        <w:pStyle w:val="Default"/>
        <w:ind w:firstLine="360"/>
        <w:jc w:val="both"/>
        <w:rPr>
          <w:rFonts w:ascii="Times New Roman" w:hAnsi="Times New Roman" w:cs="Times New Roman"/>
        </w:rPr>
      </w:pPr>
      <w:r w:rsidRPr="00A60C72">
        <w:rPr>
          <w:rFonts w:ascii="Times New Roman" w:hAnsi="Times New Roman" w:cs="Times New Roman"/>
        </w:rPr>
        <w:t>Při přezkoumání nakládání a hospodaření s majetkem svěřeným MČ bylo při kontrole správnosti postupu MČ při jeho zařazování do užívání zjištěno nedodržování okamžiku uskutečnění účetního případu, kterým je podle ustanovení bodu 6.1.3. ČÚS č. 710 - Dlouhodobý nehmotný majetek a dlouhodobý hmotný majetek uvedení tohoto majetku do stavu způsobilého k</w:t>
      </w:r>
      <w:r w:rsidR="00194390">
        <w:rPr>
          <w:rFonts w:ascii="Times New Roman" w:hAnsi="Times New Roman" w:cs="Times New Roman"/>
        </w:rPr>
        <w:t> </w:t>
      </w:r>
      <w:r w:rsidRPr="00A60C72">
        <w:rPr>
          <w:rFonts w:ascii="Times New Roman" w:hAnsi="Times New Roman" w:cs="Times New Roman"/>
        </w:rPr>
        <w:t xml:space="preserve">užívání. Jednalo se konkrétně o následující investiční akce:  </w:t>
      </w:r>
    </w:p>
    <w:p w14:paraId="28C7129D" w14:textId="77777777" w:rsidR="00F9054B" w:rsidRPr="00A60C72" w:rsidRDefault="00F9054B" w:rsidP="00F9054B">
      <w:pPr>
        <w:pStyle w:val="Default"/>
        <w:jc w:val="both"/>
        <w:rPr>
          <w:rFonts w:ascii="Times New Roman" w:hAnsi="Times New Roman" w:cs="Times New Roman"/>
        </w:rPr>
      </w:pPr>
    </w:p>
    <w:p w14:paraId="7821DF55" w14:textId="77777777"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 xml:space="preserve">Realizace fotovoltaické elektrárny na budově ZŠ Na Šutce v celkové pořizovací ceně 6 944 707,39 Kč. Akce byla dle předávacího protokolu dokončena dne 24.06.2024 (předávací protokol mezi dodávající firmou a Servisním střediskem pro správu svěřeného majetku MČ Praha 8, příspěvková organizace /dále jen SES/, která realizaci akce zajišťovala), do majetkové a účetní evidence byl tento majetek zaveden až dne 31.12.2024 na základě protokolu mezi SES a ekonomickým odborem Úřadu MČ (dále jen ÚMČ), (účetní doklad č. 800000123, majetkový doklad č. 2417800038, inventární č. MC08E0003287), </w:t>
      </w:r>
    </w:p>
    <w:p w14:paraId="4681B8F7" w14:textId="77777777" w:rsidR="00F9054B" w:rsidRPr="00A60C72" w:rsidRDefault="00F9054B" w:rsidP="00F9054B">
      <w:pPr>
        <w:pStyle w:val="Default"/>
        <w:spacing w:after="15"/>
        <w:ind w:left="360"/>
        <w:jc w:val="both"/>
        <w:rPr>
          <w:rFonts w:ascii="Times New Roman" w:hAnsi="Times New Roman" w:cs="Times New Roman"/>
          <w:color w:val="auto"/>
        </w:rPr>
      </w:pPr>
    </w:p>
    <w:p w14:paraId="79A1A395" w14:textId="77777777"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 xml:space="preserve">Realizace fotovoltaické elektrárny na budově ZŠ Hovorčovická v celkové pořizovací ceně 7 790 348,76 Kč. Akce byla dle předávacího protokolu dokončena dne 18.10.2024 (předávací protokol č. 153 mezi dodávající firmou a SES, která realizaci akce zajišťovala), do majetkové a účetní evidence byl tento majetek zaveden až dne 31.12.2024 na základě protokolu mezi SES a ekonomickým odborem ÚMČ (účetní doklad č. 800000124, majetkový doklad č. 2417800039, inventární č. MC08E0003283), </w:t>
      </w:r>
    </w:p>
    <w:p w14:paraId="28C3A0E6" w14:textId="77777777" w:rsidR="00F9054B" w:rsidRPr="00A60C72" w:rsidRDefault="00F9054B" w:rsidP="00F9054B">
      <w:pPr>
        <w:pStyle w:val="Default"/>
        <w:spacing w:after="15"/>
        <w:ind w:left="360"/>
        <w:jc w:val="both"/>
        <w:rPr>
          <w:rFonts w:ascii="Times New Roman" w:hAnsi="Times New Roman" w:cs="Times New Roman"/>
          <w:color w:val="auto"/>
        </w:rPr>
      </w:pPr>
    </w:p>
    <w:p w14:paraId="74006687" w14:textId="4C2748A0"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Realizace fotovoltaické elektrárny na budově KD Krakov v celkové pořizovací ceně 6 537 946,91 Kč. Akce byla dle předávacího protokolu dokončena dne 29.02.2024 v</w:t>
      </w:r>
      <w:r w:rsidR="00194390">
        <w:rPr>
          <w:rFonts w:ascii="Times New Roman" w:hAnsi="Times New Roman" w:cs="Times New Roman"/>
          <w:color w:val="auto"/>
        </w:rPr>
        <w:t> </w:t>
      </w:r>
      <w:r w:rsidRPr="00A60C72">
        <w:rPr>
          <w:rFonts w:ascii="Times New Roman" w:hAnsi="Times New Roman" w:cs="Times New Roman"/>
          <w:color w:val="auto"/>
        </w:rPr>
        <w:t xml:space="preserve">pořizovací ceně 5 550 223,91 Kč (předávací protokol mezi dodávající firmou a SES, která realizaci akce zajišťovala), do majetkové a účetní evidence byl tento majetek zaveden až dne 24.05.2024 na základě protokolu mezi SES a ekonomickým odborem ÚMČ Praha 8 (účetní doklad č. 800000017, majetkový doklad č. 2414800005, inventární č. MC08E0003088). </w:t>
      </w:r>
    </w:p>
    <w:p w14:paraId="4E6A341D" w14:textId="77777777" w:rsidR="00F9054B" w:rsidRPr="00A60C72" w:rsidRDefault="00F9054B" w:rsidP="00F9054B">
      <w:pPr>
        <w:pStyle w:val="Default"/>
        <w:jc w:val="both"/>
        <w:rPr>
          <w:rFonts w:ascii="Times New Roman" w:hAnsi="Times New Roman" w:cs="Times New Roman"/>
          <w:color w:val="auto"/>
        </w:rPr>
      </w:pPr>
    </w:p>
    <w:p w14:paraId="5B5E2C1A" w14:textId="32E5AFB9" w:rsidR="00F9054B" w:rsidRPr="00A60C72" w:rsidRDefault="00F9054B" w:rsidP="00F9054B">
      <w:pPr>
        <w:pStyle w:val="Default"/>
        <w:ind w:firstLine="360"/>
        <w:jc w:val="both"/>
        <w:rPr>
          <w:rFonts w:ascii="Times New Roman" w:hAnsi="Times New Roman" w:cs="Times New Roman"/>
          <w:color w:val="auto"/>
        </w:rPr>
      </w:pPr>
      <w:r w:rsidRPr="00A60C72">
        <w:rPr>
          <w:rFonts w:ascii="Times New Roman" w:hAnsi="Times New Roman" w:cs="Times New Roman"/>
          <w:color w:val="auto"/>
        </w:rPr>
        <w:t xml:space="preserve">Následně na základě protokolu mezi SES a ekonomickým odborem ÚMČ bylo do majetkové a účetní evidence zavedeno dne 31.12.2024 „technické zhodnocení“ tohoto majetku v celkové pořizovací ceně 987 723 Kč (účetní doklad č. 800000147, majetkový doklad č. 2414800027, </w:t>
      </w:r>
      <w:r w:rsidRPr="00A60C72">
        <w:rPr>
          <w:rFonts w:ascii="Times New Roman" w:hAnsi="Times New Roman" w:cs="Times New Roman"/>
          <w:color w:val="auto"/>
        </w:rPr>
        <w:lastRenderedPageBreak/>
        <w:t>inventární č. MC08E0003088). Ve skutečnosti se však nejednalo o technické zhodnocení, ale o</w:t>
      </w:r>
      <w:r w:rsidR="00194390">
        <w:rPr>
          <w:rFonts w:ascii="Times New Roman" w:hAnsi="Times New Roman" w:cs="Times New Roman"/>
          <w:color w:val="auto"/>
        </w:rPr>
        <w:t> </w:t>
      </w:r>
      <w:r w:rsidRPr="00A60C72">
        <w:rPr>
          <w:rFonts w:ascii="Times New Roman" w:hAnsi="Times New Roman" w:cs="Times New Roman"/>
          <w:color w:val="auto"/>
        </w:rPr>
        <w:t>pořizovací náklady dodatečně zaúčtované na základě pozdě předaných dokladů. Konkrétně se jednalo o předání projektové dokumentace uhrazené dne 12.06.2023 ve výši 971 778 Kč na</w:t>
      </w:r>
      <w:r w:rsidR="00194390">
        <w:rPr>
          <w:rFonts w:ascii="Times New Roman" w:hAnsi="Times New Roman" w:cs="Times New Roman"/>
          <w:color w:val="auto"/>
        </w:rPr>
        <w:t> </w:t>
      </w:r>
      <w:r w:rsidRPr="00A60C72">
        <w:rPr>
          <w:rFonts w:ascii="Times New Roman" w:hAnsi="Times New Roman" w:cs="Times New Roman"/>
          <w:color w:val="auto"/>
        </w:rPr>
        <w:t>základě faktury č. 236000768 a náklady na zpracování energetického posudku pro dotační účely uhrazeného dne 31.08.2023 ve výši 59 895 Kč na základě faktury č. 236001251. Dále se jednalo o platbu za autorský dozor uhrazenou dne 30.12.2024 ve výši 6 050 Kč na základě faktury č. 236000457 (autorský dozor byl vykonáván dle smlouvy o dílo VR 27/2022 do nabytí právní moci kolaudačního rozhodnutí, tj. pouze do dne 19.09.2024). Náklady na tyto služby měly být součástí pořizovací ceny zhotoveného díla, nejednalo se tak o technické zhodnocení dokončeného majetku dle § 55 odst. 4 vyhlášky č. 410/2009 Sb., kterou se provádějí některá ustanovení zákona č. 563/1991 Sb., o účetnictví, ve znění pozdějších předpisů, pro některé vybrané účetní jednotky, ve</w:t>
      </w:r>
      <w:r w:rsidR="00194390">
        <w:rPr>
          <w:rFonts w:ascii="Times New Roman" w:hAnsi="Times New Roman" w:cs="Times New Roman"/>
          <w:color w:val="auto"/>
        </w:rPr>
        <w:t> </w:t>
      </w:r>
      <w:r w:rsidRPr="00A60C72">
        <w:rPr>
          <w:rFonts w:ascii="Times New Roman" w:hAnsi="Times New Roman" w:cs="Times New Roman"/>
          <w:color w:val="auto"/>
        </w:rPr>
        <w:t xml:space="preserve">znění pozdějších předpisů. </w:t>
      </w:r>
    </w:p>
    <w:p w14:paraId="46CECD0B" w14:textId="77777777" w:rsidR="00F9054B" w:rsidRPr="00A60C72" w:rsidRDefault="00F9054B" w:rsidP="00F9054B">
      <w:pPr>
        <w:pStyle w:val="Default"/>
        <w:jc w:val="both"/>
        <w:rPr>
          <w:rFonts w:ascii="Times New Roman" w:hAnsi="Times New Roman" w:cs="Times New Roman"/>
          <w:color w:val="auto"/>
        </w:rPr>
      </w:pPr>
    </w:p>
    <w:p w14:paraId="069CF28C" w14:textId="14087B7F" w:rsidR="00F9054B" w:rsidRPr="00A60C72" w:rsidRDefault="00F9054B" w:rsidP="00F9054B">
      <w:pPr>
        <w:pStyle w:val="Default"/>
        <w:numPr>
          <w:ilvl w:val="2"/>
          <w:numId w:val="26"/>
        </w:numPr>
        <w:spacing w:after="15"/>
        <w:jc w:val="both"/>
        <w:rPr>
          <w:rFonts w:ascii="Times New Roman" w:hAnsi="Times New Roman" w:cs="Times New Roman"/>
          <w:color w:val="auto"/>
        </w:rPr>
      </w:pPr>
      <w:r w:rsidRPr="00A60C72">
        <w:rPr>
          <w:rFonts w:ascii="Times New Roman" w:hAnsi="Times New Roman" w:cs="Times New Roman"/>
          <w:color w:val="auto"/>
        </w:rPr>
        <w:t>Realizace fotovoltaické elektrárny na budově ZŠ Burešova v celkové pořizovací ceně 6 802 100,26 Kč. Akce byla dle předávacího protokolu dokončena dne 19.02.2024 (předávací protokol mezi dodávající firmou a SES, která realizaci akce zajišťovala), do majetkové a účetní evidence byl tento majetek zaveden dne 30.09.2024 na základě protokolu mezi SES a</w:t>
      </w:r>
      <w:r w:rsidR="00194390">
        <w:rPr>
          <w:rFonts w:ascii="Times New Roman" w:hAnsi="Times New Roman" w:cs="Times New Roman"/>
          <w:color w:val="auto"/>
        </w:rPr>
        <w:t> </w:t>
      </w:r>
      <w:r w:rsidRPr="00A60C72">
        <w:rPr>
          <w:rFonts w:ascii="Times New Roman" w:hAnsi="Times New Roman" w:cs="Times New Roman"/>
          <w:color w:val="auto"/>
        </w:rPr>
        <w:t xml:space="preserve">ekonomickým odborem ÚMČ (účetní doklad č. 800000014, majetkový doklad č. 2417800019, inventární č. MC08E0003069). Dále bylo zjištěno, že v době provádění kontroly nebylo do pořizovací ceny majetku zahrnuto zhotovení projektové dokumentace k této akci uhrazené dne 12.06.2023 ve výši 784 322 Kč na základě faktury č. 236000768, čímž nebyl tento majetek do majetkové a účetní evidence zaveden v plné výši neboť součástí ocenění dlouhodobého hmotného majetku podle ustanovení § 55 odst. 1 písm. c) vyhlášky č. 410/2009 Sb., kterou se provádějí některá ustanovení zákona č. 563/1991 Sb., o účetnictví, ve znění pozdějších předpisů, pro některé vybrané účetní jednotky, ve znění pozdějších předpisů, jsou mimo jiné i projektové práce. </w:t>
      </w:r>
    </w:p>
    <w:p w14:paraId="4E118647" w14:textId="77777777" w:rsidR="00F9054B" w:rsidRPr="00A60C72" w:rsidRDefault="00F9054B" w:rsidP="00F9054B">
      <w:pPr>
        <w:pStyle w:val="Default"/>
        <w:jc w:val="both"/>
        <w:rPr>
          <w:rFonts w:ascii="Times New Roman" w:hAnsi="Times New Roman" w:cs="Times New Roman"/>
          <w:color w:val="auto"/>
        </w:rPr>
      </w:pPr>
    </w:p>
    <w:p w14:paraId="11592C16" w14:textId="03151374" w:rsidR="00F9054B" w:rsidRPr="00A60C72" w:rsidRDefault="00F9054B" w:rsidP="00F9054B">
      <w:pPr>
        <w:pStyle w:val="Default"/>
        <w:ind w:firstLine="360"/>
        <w:jc w:val="both"/>
        <w:rPr>
          <w:rFonts w:ascii="Times New Roman" w:hAnsi="Times New Roman" w:cs="Times New Roman"/>
          <w:color w:val="auto"/>
        </w:rPr>
      </w:pPr>
      <w:r w:rsidRPr="00A60C72">
        <w:rPr>
          <w:rFonts w:ascii="Times New Roman" w:hAnsi="Times New Roman" w:cs="Times New Roman"/>
          <w:color w:val="auto"/>
        </w:rPr>
        <w:t>Z důvodu pozdního předání podkladů týkajících se dokončených investičních akcí nebylo o</w:t>
      </w:r>
      <w:r w:rsidR="00194390">
        <w:rPr>
          <w:rFonts w:ascii="Times New Roman" w:hAnsi="Times New Roman" w:cs="Times New Roman"/>
          <w:color w:val="auto"/>
        </w:rPr>
        <w:t> </w:t>
      </w:r>
      <w:r w:rsidRPr="00A60C72">
        <w:rPr>
          <w:rFonts w:ascii="Times New Roman" w:hAnsi="Times New Roman" w:cs="Times New Roman"/>
          <w:color w:val="auto"/>
        </w:rPr>
        <w:t>zařazení nově pořízeného majetku účtováno k okamžiku uskutečnění účetního případu. Nebylo tak naplněno ustanovení § 14 odst. 12 vyhlášky č. 410/2009 Sb., kterou se provádějí některá ustanovení zákona č. 563/1991 Sb., o účetnictví, ve znění pozdějších předpisů, pro některé vybrané účetní jednotky, ve znění pozdějších předpisů, podle kterého se dlouhodobým hmotným majetkem stávají pořizované věci okamžikem uvedení do stavu způsobilého k užívání, kterým se rozumí zejména dokončení věci a splnění technických funkcí a povinností stanovených jinými právními předpisy pro užívání (způsobilost k provozu); obdobně se postupuje v případě technického zhodnocení. V důsledku výše uvedeného došlo ke zkreslení jednotlivých položek majetku v</w:t>
      </w:r>
      <w:r w:rsidR="00194390">
        <w:rPr>
          <w:rFonts w:ascii="Times New Roman" w:hAnsi="Times New Roman" w:cs="Times New Roman"/>
          <w:color w:val="auto"/>
        </w:rPr>
        <w:t> </w:t>
      </w:r>
      <w:r w:rsidRPr="00A60C72">
        <w:rPr>
          <w:rFonts w:ascii="Times New Roman" w:hAnsi="Times New Roman" w:cs="Times New Roman"/>
          <w:color w:val="auto"/>
        </w:rPr>
        <w:t xml:space="preserve">rozvaze v mezitímních účetních závěrkách a nebylo včas zahájeno odpisování majetku </w:t>
      </w:r>
      <w:bookmarkStart w:id="2" w:name="_Hlk197420021"/>
      <w:r w:rsidRPr="00A60C72">
        <w:rPr>
          <w:rFonts w:ascii="Times New Roman" w:hAnsi="Times New Roman" w:cs="Times New Roman"/>
          <w:color w:val="auto"/>
        </w:rPr>
        <w:t>podle ustanovení § 66 odst. 1 vyhlášky č. 410/2009 Sb., kterou se provádějí některá ustanovení zákona č. 563/1991 Sb., o účetnictví, ve znění pozdějších předpisů, pro některé vybrané účetní jednotky, ve znění pozdějších předpisů, podle kterého se dlouhodobý majetek odpisuje postupně v průběhu jeho používání</w:t>
      </w:r>
      <w:bookmarkEnd w:id="2"/>
      <w:r w:rsidRPr="00A60C72">
        <w:rPr>
          <w:rFonts w:ascii="Times New Roman" w:hAnsi="Times New Roman" w:cs="Times New Roman"/>
          <w:color w:val="auto"/>
        </w:rPr>
        <w:t>, čímž byly ovlivněny náklady MČ a byl mírně zvýšen výsledek hospodaření MČ vykázaný za rok 2024.</w:t>
      </w:r>
    </w:p>
    <w:p w14:paraId="1547199E" w14:textId="77777777" w:rsidR="00194390" w:rsidRPr="00A60C72" w:rsidRDefault="00194390" w:rsidP="00F9054B">
      <w:pPr>
        <w:pStyle w:val="Default"/>
        <w:jc w:val="both"/>
        <w:rPr>
          <w:rFonts w:ascii="Times New Roman" w:hAnsi="Times New Roman" w:cs="Times New Roman"/>
          <w:b/>
          <w:bCs/>
          <w:color w:val="auto"/>
        </w:rPr>
      </w:pPr>
    </w:p>
    <w:p w14:paraId="795186FA" w14:textId="77777777" w:rsidR="00F9054B" w:rsidRDefault="00F9054B" w:rsidP="00F9054B">
      <w:pPr>
        <w:pStyle w:val="Default"/>
        <w:jc w:val="both"/>
        <w:rPr>
          <w:rFonts w:ascii="Times New Roman" w:hAnsi="Times New Roman" w:cs="Times New Roman"/>
          <w:b/>
          <w:bCs/>
          <w:color w:val="auto"/>
        </w:rPr>
      </w:pPr>
      <w:r w:rsidRPr="00A60C72">
        <w:rPr>
          <w:rFonts w:ascii="Times New Roman" w:hAnsi="Times New Roman" w:cs="Times New Roman"/>
          <w:b/>
          <w:bCs/>
          <w:color w:val="auto"/>
        </w:rPr>
        <w:t>Náprava:</w:t>
      </w:r>
    </w:p>
    <w:p w14:paraId="47B4282B" w14:textId="77777777" w:rsidR="00F9054B" w:rsidRDefault="00F9054B" w:rsidP="00F9054B">
      <w:pPr>
        <w:pStyle w:val="Default"/>
        <w:jc w:val="both"/>
        <w:rPr>
          <w:rFonts w:ascii="Times New Roman" w:hAnsi="Times New Roman" w:cs="Times New Roman"/>
          <w:color w:val="auto"/>
        </w:rPr>
      </w:pPr>
      <w:r w:rsidRPr="00A60C72">
        <w:rPr>
          <w:rFonts w:ascii="Times New Roman" w:hAnsi="Times New Roman" w:cs="Times New Roman"/>
          <w:color w:val="auto"/>
        </w:rPr>
        <w:t>SES bylo proškoleno</w:t>
      </w:r>
      <w:r>
        <w:rPr>
          <w:rFonts w:ascii="Times New Roman" w:hAnsi="Times New Roman" w:cs="Times New Roman"/>
          <w:color w:val="auto"/>
        </w:rPr>
        <w:t>:</w:t>
      </w:r>
    </w:p>
    <w:p w14:paraId="6575E37E" w14:textId="77777777" w:rsidR="00F9054B" w:rsidRPr="000767CC" w:rsidRDefault="00F9054B" w:rsidP="00F9054B">
      <w:pPr>
        <w:pStyle w:val="Default"/>
        <w:numPr>
          <w:ilvl w:val="2"/>
          <w:numId w:val="26"/>
        </w:numPr>
        <w:jc w:val="both"/>
        <w:rPr>
          <w:rFonts w:ascii="Times New Roman" w:hAnsi="Times New Roman" w:cs="Times New Roman"/>
          <w:color w:val="auto"/>
        </w:rPr>
      </w:pPr>
      <w:r>
        <w:rPr>
          <w:rFonts w:ascii="Times New Roman" w:hAnsi="Times New Roman" w:cs="Times New Roman"/>
          <w:color w:val="auto"/>
        </w:rPr>
        <w:t>podle ustanovení bodu 6.1.3. ČÚS č. 710 - Dlouhodobý nehmotný majetek a dlouhodobý hmotný majetek a</w:t>
      </w:r>
    </w:p>
    <w:p w14:paraId="76A54BDC" w14:textId="77777777" w:rsidR="00F9054B" w:rsidRPr="00A60C72" w:rsidRDefault="00F9054B" w:rsidP="00F9054B">
      <w:pPr>
        <w:pStyle w:val="Default"/>
        <w:numPr>
          <w:ilvl w:val="2"/>
          <w:numId w:val="26"/>
        </w:numPr>
        <w:jc w:val="both"/>
        <w:rPr>
          <w:rFonts w:ascii="Times New Roman" w:hAnsi="Times New Roman" w:cs="Times New Roman"/>
          <w:color w:val="auto"/>
        </w:rPr>
      </w:pPr>
      <w:r w:rsidRPr="00A60C72">
        <w:rPr>
          <w:rFonts w:ascii="Times New Roman" w:hAnsi="Times New Roman" w:cs="Times New Roman"/>
          <w:color w:val="auto"/>
        </w:rPr>
        <w:t>podle ustanovení §</w:t>
      </w:r>
      <w:r>
        <w:rPr>
          <w:rFonts w:ascii="Times New Roman" w:hAnsi="Times New Roman" w:cs="Times New Roman"/>
          <w:color w:val="auto"/>
        </w:rPr>
        <w:t xml:space="preserve"> </w:t>
      </w:r>
      <w:r w:rsidRPr="00A60C72">
        <w:rPr>
          <w:rFonts w:ascii="Times New Roman" w:hAnsi="Times New Roman" w:cs="Times New Roman"/>
          <w:color w:val="auto"/>
        </w:rPr>
        <w:t>1</w:t>
      </w:r>
      <w:r>
        <w:rPr>
          <w:rFonts w:ascii="Times New Roman" w:hAnsi="Times New Roman" w:cs="Times New Roman"/>
          <w:color w:val="auto"/>
        </w:rPr>
        <w:t>4</w:t>
      </w:r>
      <w:r w:rsidRPr="00A60C72">
        <w:rPr>
          <w:rFonts w:ascii="Times New Roman" w:hAnsi="Times New Roman" w:cs="Times New Roman"/>
          <w:color w:val="auto"/>
        </w:rPr>
        <w:t>, §</w:t>
      </w:r>
      <w:r>
        <w:rPr>
          <w:rFonts w:ascii="Times New Roman" w:hAnsi="Times New Roman" w:cs="Times New Roman"/>
          <w:color w:val="auto"/>
        </w:rPr>
        <w:t xml:space="preserve"> </w:t>
      </w:r>
      <w:r w:rsidRPr="00A60C72">
        <w:rPr>
          <w:rFonts w:ascii="Times New Roman" w:hAnsi="Times New Roman" w:cs="Times New Roman"/>
          <w:color w:val="auto"/>
        </w:rPr>
        <w:t>55 a § 66 vyhlášky č. 410/2009 Sb., kterou se provádějí některá ustanovení zákona č. 563/1991 Sb., o účetnictví, ve znění pozdějších předpisů, podle kterých se dlouhodobý majetek odpisuje postupně v průběhu jeho používání.</w:t>
      </w:r>
    </w:p>
    <w:p w14:paraId="72BB985E" w14:textId="77777777" w:rsidR="00F9054B" w:rsidRPr="00195FFA" w:rsidRDefault="00F9054B" w:rsidP="00F9054B">
      <w:pPr>
        <w:jc w:val="both"/>
      </w:pPr>
      <w:r w:rsidRPr="00195FFA">
        <w:rPr>
          <w:u w:val="single"/>
        </w:rPr>
        <w:t>Odpovědná osoba</w:t>
      </w:r>
      <w:r w:rsidRPr="00195FFA">
        <w:t>: vedoucí O</w:t>
      </w:r>
      <w:r w:rsidRPr="00A60C72">
        <w:t>Š a ředitel SES</w:t>
      </w:r>
    </w:p>
    <w:p w14:paraId="21D154DF" w14:textId="34D9E6AB" w:rsidR="00F9054B" w:rsidRPr="00A60C72" w:rsidRDefault="00F9054B" w:rsidP="00F9054B">
      <w:pPr>
        <w:jc w:val="both"/>
      </w:pPr>
      <w:r w:rsidRPr="00195FFA">
        <w:rPr>
          <w:u w:val="single"/>
        </w:rPr>
        <w:t>Termín</w:t>
      </w:r>
      <w:r w:rsidRPr="00195FFA">
        <w:t xml:space="preserve">: </w:t>
      </w:r>
      <w:r w:rsidRPr="00A60C72">
        <w:t>30</w:t>
      </w:r>
      <w:r w:rsidRPr="00195FFA">
        <w:t>.</w:t>
      </w:r>
      <w:r w:rsidR="004B7FDC">
        <w:t>0</w:t>
      </w:r>
      <w:r w:rsidRPr="00A60C72">
        <w:t>9</w:t>
      </w:r>
      <w:r w:rsidRPr="00195FFA">
        <w:t>.2025</w:t>
      </w:r>
    </w:p>
    <w:p w14:paraId="4C2428EE" w14:textId="77777777" w:rsidR="00F9054B" w:rsidRPr="00A60C72" w:rsidRDefault="00F9054B" w:rsidP="00F9054B">
      <w:pPr>
        <w:pStyle w:val="Default"/>
        <w:jc w:val="both"/>
        <w:rPr>
          <w:rFonts w:ascii="Times New Roman" w:hAnsi="Times New Roman" w:cs="Times New Roman"/>
        </w:rPr>
      </w:pPr>
      <w:r>
        <w:rPr>
          <w:rFonts w:ascii="Times New Roman" w:hAnsi="Times New Roman" w:cs="Times New Roman"/>
          <w:b/>
          <w:bCs/>
          <w:color w:val="auto"/>
        </w:rPr>
        <w:lastRenderedPageBreak/>
        <w:t>4</w:t>
      </w:r>
      <w:r w:rsidRPr="00A60C72">
        <w:rPr>
          <w:rFonts w:ascii="Times New Roman" w:hAnsi="Times New Roman" w:cs="Times New Roman"/>
          <w:b/>
          <w:bCs/>
          <w:color w:val="auto"/>
        </w:rPr>
        <w:t>)</w:t>
      </w:r>
    </w:p>
    <w:p w14:paraId="22430D6D" w14:textId="77777777" w:rsidR="00F9054B" w:rsidRPr="00BA2AF6" w:rsidRDefault="00F9054B" w:rsidP="00F9054B">
      <w:pPr>
        <w:pStyle w:val="Default"/>
        <w:rPr>
          <w:rFonts w:ascii="Times New Roman" w:hAnsi="Times New Roman" w:cs="Times New Roman"/>
          <w:u w:val="single"/>
        </w:rPr>
      </w:pPr>
      <w:r w:rsidRPr="00BA2AF6">
        <w:rPr>
          <w:rFonts w:ascii="Times New Roman" w:hAnsi="Times New Roman" w:cs="Times New Roman"/>
          <w:u w:val="single"/>
        </w:rPr>
        <w:t xml:space="preserve">Předmět: Zákon č. 420/2004 Sb. § 2 odst. 2 písm. d) stav pohledávek a závazků a nakládání s nimi </w:t>
      </w:r>
    </w:p>
    <w:p w14:paraId="0166D5B5" w14:textId="77777777" w:rsidR="00F9054B" w:rsidRPr="00A60C72" w:rsidRDefault="00F9054B" w:rsidP="00F9054B">
      <w:pPr>
        <w:pStyle w:val="Default"/>
        <w:rPr>
          <w:rFonts w:ascii="Times New Roman" w:hAnsi="Times New Roman" w:cs="Times New Roman"/>
          <w:i/>
          <w:iCs/>
        </w:rPr>
      </w:pPr>
    </w:p>
    <w:p w14:paraId="612142B0" w14:textId="77777777" w:rsidR="00F9054B" w:rsidRPr="00A60C72" w:rsidRDefault="00F9054B" w:rsidP="00F9054B">
      <w:pPr>
        <w:pStyle w:val="Default"/>
        <w:jc w:val="both"/>
        <w:rPr>
          <w:rFonts w:ascii="Times New Roman" w:hAnsi="Times New Roman" w:cs="Times New Roman"/>
          <w:i/>
          <w:iCs/>
        </w:rPr>
      </w:pPr>
      <w:r w:rsidRPr="00A60C72">
        <w:rPr>
          <w:rFonts w:ascii="Times New Roman" w:hAnsi="Times New Roman" w:cs="Times New Roman"/>
          <w:i/>
          <w:iCs/>
        </w:rPr>
        <w:t xml:space="preserve">Právní předpis: Zákon č. 563/1991 Sb., o účetnictví, ve znění pozdějších předpisů </w:t>
      </w:r>
    </w:p>
    <w:p w14:paraId="54085425" w14:textId="77777777" w:rsidR="00F9054B" w:rsidRPr="00A60C72" w:rsidRDefault="00F9054B" w:rsidP="00F9054B">
      <w:pPr>
        <w:pStyle w:val="Default"/>
        <w:jc w:val="both"/>
        <w:rPr>
          <w:rFonts w:ascii="Times New Roman" w:hAnsi="Times New Roman" w:cs="Times New Roman"/>
        </w:rPr>
      </w:pPr>
    </w:p>
    <w:p w14:paraId="5E90FE8F" w14:textId="77777777" w:rsidR="00F9054B" w:rsidRPr="00A60C72" w:rsidRDefault="00F9054B" w:rsidP="00F9054B">
      <w:pPr>
        <w:pStyle w:val="Default"/>
        <w:numPr>
          <w:ilvl w:val="0"/>
          <w:numId w:val="28"/>
        </w:numPr>
        <w:jc w:val="both"/>
        <w:rPr>
          <w:rFonts w:ascii="Times New Roman" w:hAnsi="Times New Roman" w:cs="Times New Roman"/>
        </w:rPr>
      </w:pPr>
      <w:r w:rsidRPr="00A60C72">
        <w:rPr>
          <w:rFonts w:ascii="Times New Roman" w:hAnsi="Times New Roman" w:cs="Times New Roman"/>
          <w:i/>
          <w:iCs/>
        </w:rPr>
        <w:t xml:space="preserve">ustanovení § 30 odst. 2 </w:t>
      </w:r>
    </w:p>
    <w:p w14:paraId="7B829C19" w14:textId="77777777" w:rsidR="00F9054B" w:rsidRPr="00A60C72" w:rsidRDefault="00F9054B" w:rsidP="00F9054B">
      <w:pPr>
        <w:pStyle w:val="Default"/>
        <w:rPr>
          <w:rFonts w:ascii="Times New Roman" w:hAnsi="Times New Roman" w:cs="Times New Roman"/>
        </w:rPr>
      </w:pPr>
    </w:p>
    <w:p w14:paraId="5CAB575A" w14:textId="0C9391EC" w:rsidR="00F9054B" w:rsidRPr="00A60C72" w:rsidRDefault="00F9054B" w:rsidP="00F9054B">
      <w:pPr>
        <w:pStyle w:val="Default"/>
        <w:ind w:firstLine="360"/>
        <w:jc w:val="both"/>
        <w:rPr>
          <w:rFonts w:ascii="Times New Roman" w:hAnsi="Times New Roman" w:cs="Times New Roman"/>
        </w:rPr>
      </w:pPr>
      <w:r w:rsidRPr="00A60C72">
        <w:rPr>
          <w:rFonts w:ascii="Times New Roman" w:hAnsi="Times New Roman" w:cs="Times New Roman"/>
        </w:rPr>
        <w:t xml:space="preserve">V rámci kontroly správnosti tvorby opravných položek účtovaných na analytickém účtu 192 0700 – „Opravné položky k účtu 315 0700“ bylo kontrolní skupinou zjištěno, že některé předpisy pohledávek vzniklých z pokut ze zón placeného stání (dále pouze pokuty ZPS), které byly k 31.12.2024 evidovány na analytickém účtu 315 0700 - „Pohledávky k příjmovému účtu ZPS“, byly vytvořeny chybně. Namátkově byla tato skutečnost zjištěna ve spolupráci s příslušným zaměstnancem MČ z evidenčních podkladů v modulu </w:t>
      </w:r>
      <w:proofErr w:type="spellStart"/>
      <w:r w:rsidRPr="00A60C72">
        <w:rPr>
          <w:rFonts w:ascii="Times New Roman" w:hAnsi="Times New Roman" w:cs="Times New Roman"/>
        </w:rPr>
        <w:t>Ginis</w:t>
      </w:r>
      <w:proofErr w:type="spellEnd"/>
      <w:r w:rsidRPr="00A60C72">
        <w:rPr>
          <w:rFonts w:ascii="Times New Roman" w:hAnsi="Times New Roman" w:cs="Times New Roman"/>
        </w:rPr>
        <w:t xml:space="preserve"> DDP (Dávky, daně poplatky) např. u</w:t>
      </w:r>
      <w:r w:rsidR="006902D4">
        <w:rPr>
          <w:rFonts w:ascii="Times New Roman" w:hAnsi="Times New Roman" w:cs="Times New Roman"/>
        </w:rPr>
        <w:t> </w:t>
      </w:r>
      <w:r w:rsidRPr="00A60C72">
        <w:rPr>
          <w:rFonts w:ascii="Times New Roman" w:hAnsi="Times New Roman" w:cs="Times New Roman"/>
        </w:rPr>
        <w:t xml:space="preserve">následujících předpisů pohledávek - resp. jednorázových pokut ZPS se splatností 30 dnů: </w:t>
      </w:r>
    </w:p>
    <w:p w14:paraId="344303AB"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pokuta ZPS ve výši 600 Kč evidovaná dne 28.06.2024 pod variabilním symbolem 2301393514 - dne 28.06.2024 byl systémem Agendio správně vytvořen předpis pohledávky č. 1, dne 29.06.2024 pak byl chybně vytvořen předpis pohledávky č. 2 a následně byl dne 30.06.2024 opět chybně vytvořen předpis pohledávky č. 3. Správcem příslušné pohledávky bylo dle variabilního symbolu ověřeno, že navíc oproti prvotní operativní evidenci v systému ASDP (Agenda správy dopravních přestupků) byla pod variabilním symbolem 2301393514 v modulu </w:t>
      </w:r>
      <w:proofErr w:type="spellStart"/>
      <w:r w:rsidRPr="00A60C72">
        <w:rPr>
          <w:rFonts w:ascii="Times New Roman" w:hAnsi="Times New Roman" w:cs="Times New Roman"/>
        </w:rPr>
        <w:t>Ginis</w:t>
      </w:r>
      <w:proofErr w:type="spellEnd"/>
      <w:r w:rsidRPr="00A60C72">
        <w:rPr>
          <w:rFonts w:ascii="Times New Roman" w:hAnsi="Times New Roman" w:cs="Times New Roman"/>
        </w:rPr>
        <w:t xml:space="preserve"> DDP chybně zaevidována pohledávka v celkové výši 1 200 Kč, a k ní následně mylně vytvořena i 10% opravná položka ve výši 120 Kč k 31.12.2024, </w:t>
      </w:r>
    </w:p>
    <w:p w14:paraId="09F08726" w14:textId="2081DDB4"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pokuta ZPS ve výši 600 Kč evidovaná dne 28.06.2024 pod variabilním symbolem 2301393475 - dne 28.06.2024 byl systémem Agendio správně vytvořen předpis pohledávky č. 1, dne 29.06.2024 pak byl chybně vytvořen předpis pohledávky č. 2 a následně byl dne 30.06.2024 opět chybně vytvořen předpis pohledávky č. 3. Správcem příslušné pohledávky bylo dle variabilního symbolu ověřeno, že navíc oproti prvotní operativní evidenci v systému ASDP byla pod variabilním symbolem 2301393475 v modulu </w:t>
      </w:r>
      <w:proofErr w:type="spellStart"/>
      <w:r w:rsidRPr="00A60C72">
        <w:rPr>
          <w:rFonts w:ascii="Times New Roman" w:hAnsi="Times New Roman" w:cs="Times New Roman"/>
        </w:rPr>
        <w:t>Ginis</w:t>
      </w:r>
      <w:proofErr w:type="spellEnd"/>
      <w:r w:rsidRPr="00A60C72">
        <w:rPr>
          <w:rFonts w:ascii="Times New Roman" w:hAnsi="Times New Roman" w:cs="Times New Roman"/>
        </w:rPr>
        <w:t xml:space="preserve"> DDP chybně zaevidována pohledávka v celkové výši 1 200 Kč a k ní byla následně mylně vytvořena opravná položka ve</w:t>
      </w:r>
      <w:r w:rsidR="006902D4">
        <w:rPr>
          <w:rFonts w:ascii="Times New Roman" w:hAnsi="Times New Roman" w:cs="Times New Roman"/>
        </w:rPr>
        <w:t> </w:t>
      </w:r>
      <w:r w:rsidRPr="00A60C72">
        <w:rPr>
          <w:rFonts w:ascii="Times New Roman" w:hAnsi="Times New Roman" w:cs="Times New Roman"/>
        </w:rPr>
        <w:t xml:space="preserve">výši 120 Kč k 31.12.2024, </w:t>
      </w:r>
    </w:p>
    <w:p w14:paraId="6B7D6FFA" w14:textId="77777777" w:rsidR="00F9054B" w:rsidRPr="00A60C72" w:rsidRDefault="00F9054B" w:rsidP="00F9054B">
      <w:pPr>
        <w:pStyle w:val="Default"/>
        <w:numPr>
          <w:ilvl w:val="2"/>
          <w:numId w:val="26"/>
        </w:numPr>
        <w:spacing w:after="15"/>
        <w:jc w:val="both"/>
        <w:rPr>
          <w:rFonts w:ascii="Times New Roman" w:hAnsi="Times New Roman" w:cs="Times New Roman"/>
        </w:rPr>
      </w:pPr>
      <w:r w:rsidRPr="00A60C72">
        <w:rPr>
          <w:rFonts w:ascii="Times New Roman" w:hAnsi="Times New Roman" w:cs="Times New Roman"/>
        </w:rPr>
        <w:t xml:space="preserve">pokuta ZPS ve výši 600 Kč evidovaná dne 29.06.2024 pod variabilním symbolem 2301394016 - dne 30.06.2024 byl systémem Agendio správně vytvořen předpis pohledávky č. 1, dne 01.07.2024 byl chybně vytvořen předpis pohledávky č. 2. Správcem příslušné pohledávky bylo dle variabilního symbolu ověřeno, že navíc oproti prvotní operativní evidenci v systému ASDP byla pod variabilním symbolem 2301394016 v modulu </w:t>
      </w:r>
      <w:proofErr w:type="spellStart"/>
      <w:r w:rsidRPr="00A60C72">
        <w:rPr>
          <w:rFonts w:ascii="Times New Roman" w:hAnsi="Times New Roman" w:cs="Times New Roman"/>
        </w:rPr>
        <w:t>Ginis</w:t>
      </w:r>
      <w:proofErr w:type="spellEnd"/>
      <w:r w:rsidRPr="00A60C72">
        <w:rPr>
          <w:rFonts w:ascii="Times New Roman" w:hAnsi="Times New Roman" w:cs="Times New Roman"/>
        </w:rPr>
        <w:t xml:space="preserve"> DDP chybně zaevidována pohledávka v celkové výši 600 Kč a k ní byla následně mylně vytvořena i 10% opravná položka ve výši 60 Kč k 31.12.2024. </w:t>
      </w:r>
    </w:p>
    <w:p w14:paraId="463DCC58" w14:textId="77777777" w:rsidR="00F9054B" w:rsidRPr="00A60C72" w:rsidRDefault="00F9054B" w:rsidP="00F9054B">
      <w:pPr>
        <w:pStyle w:val="Default"/>
        <w:jc w:val="both"/>
        <w:rPr>
          <w:rFonts w:ascii="Times New Roman" w:hAnsi="Times New Roman" w:cs="Times New Roman"/>
        </w:rPr>
      </w:pPr>
    </w:p>
    <w:p w14:paraId="4BD535FE" w14:textId="77777777" w:rsidR="00F9054B" w:rsidRPr="00A60C72" w:rsidRDefault="00F9054B" w:rsidP="00F9054B">
      <w:pPr>
        <w:pStyle w:val="Default"/>
        <w:ind w:firstLine="360"/>
        <w:jc w:val="both"/>
        <w:rPr>
          <w:rFonts w:ascii="Times New Roman" w:hAnsi="Times New Roman" w:cs="Times New Roman"/>
        </w:rPr>
      </w:pPr>
      <w:r w:rsidRPr="00A60C72">
        <w:rPr>
          <w:rFonts w:ascii="Times New Roman" w:hAnsi="Times New Roman" w:cs="Times New Roman"/>
        </w:rPr>
        <w:t>Po prověření výše uvedených zjištění zaměstnanci ekonomického odboru a odboru dopravy MČ (který je správcem příslušných pohledávek a který je eviduje do prvotní evidence v systému ASDP) bylo ověřeno, že k této skutečnosti došlo evidentně z důvodu chybného násobného zápisu předpisu některých pokut ZPS aplikací Agendio, která z blíže nezjištěných příčin pod daným variabilním symbolem dlužníka nevygenerovala pouze jeden přepis pokuty ZPS, ale zápis předpisu zdvoj- až ztrojnásobila.</w:t>
      </w:r>
    </w:p>
    <w:p w14:paraId="4D852BF0" w14:textId="77777777" w:rsidR="00F9054B" w:rsidRPr="00A60C72" w:rsidRDefault="00F9054B" w:rsidP="00F9054B">
      <w:pPr>
        <w:pStyle w:val="Default"/>
        <w:jc w:val="both"/>
        <w:rPr>
          <w:rFonts w:ascii="Times New Roman" w:hAnsi="Times New Roman" w:cs="Times New Roman"/>
        </w:rPr>
      </w:pPr>
    </w:p>
    <w:p w14:paraId="08F367CA" w14:textId="77777777" w:rsidR="00F9054B" w:rsidRPr="00A60C72" w:rsidRDefault="00F9054B" w:rsidP="00F9054B">
      <w:pPr>
        <w:pStyle w:val="Default"/>
        <w:ind w:firstLine="360"/>
        <w:jc w:val="both"/>
        <w:rPr>
          <w:rFonts w:ascii="Times New Roman" w:hAnsi="Times New Roman" w:cs="Times New Roman"/>
          <w:color w:val="auto"/>
        </w:rPr>
      </w:pPr>
      <w:r w:rsidRPr="00A60C72">
        <w:rPr>
          <w:rFonts w:ascii="Times New Roman" w:hAnsi="Times New Roman" w:cs="Times New Roman"/>
          <w:color w:val="auto"/>
        </w:rPr>
        <w:t xml:space="preserve">Vzhledem k tomu, že kontrola byla provedena pouze namátkově, ale chybné generování předpisů systémem Agendio bylo zjištěno v různých dnech, nelze vyloučit, že k této chybě mohlo dojít opakovaně i v minulých letech, a pokud nebude odhalena příčina vzniku této chyby v aplikaci Agendio, nelze ani do budoucna vyloučit riziko opakování se této chybné tvorby předpisu tohoto typu pohledávek, což by i nadále mohlo zkreslovat celkovou výši pohledávek vzniklých z pokut </w:t>
      </w:r>
      <w:r w:rsidRPr="00A60C72">
        <w:rPr>
          <w:rFonts w:ascii="Times New Roman" w:hAnsi="Times New Roman" w:cs="Times New Roman"/>
          <w:color w:val="auto"/>
        </w:rPr>
        <w:lastRenderedPageBreak/>
        <w:t xml:space="preserve">ZPS i celkovou výši z nich tvořených opravných položek. Zároveň nelze vyloučit, že k obdobnému problému nemůže docházet i u jiného typu pohledávek, které jsou obdobným způsobem přenášeny systémem Agendio z prvotní evidence do evidence účetní. </w:t>
      </w:r>
    </w:p>
    <w:p w14:paraId="7CE15C70" w14:textId="44A6B079" w:rsidR="00F9054B" w:rsidRPr="00A60C72" w:rsidRDefault="00F9054B" w:rsidP="00F9054B">
      <w:pPr>
        <w:pStyle w:val="Default"/>
        <w:ind w:firstLine="360"/>
        <w:jc w:val="both"/>
        <w:rPr>
          <w:rFonts w:ascii="Times New Roman" w:hAnsi="Times New Roman" w:cs="Times New Roman"/>
          <w:color w:val="auto"/>
        </w:rPr>
      </w:pPr>
      <w:r w:rsidRPr="00A60C72">
        <w:rPr>
          <w:rFonts w:ascii="Times New Roman" w:hAnsi="Times New Roman" w:cs="Times New Roman"/>
          <w:color w:val="auto"/>
        </w:rPr>
        <w:t>Z výše popsaných zjištění vyplývá, že při přezkoumání pohledávek nebylo možno ověřit, zda v rozvaze MČ sestavené ke dni 31.12.2024 byly všechny krátkodobé pohledávky evidované na</w:t>
      </w:r>
      <w:r w:rsidR="006902D4">
        <w:rPr>
          <w:rFonts w:ascii="Times New Roman" w:hAnsi="Times New Roman" w:cs="Times New Roman"/>
          <w:color w:val="auto"/>
        </w:rPr>
        <w:t> </w:t>
      </w:r>
      <w:r w:rsidRPr="00A60C72">
        <w:rPr>
          <w:rFonts w:ascii="Times New Roman" w:hAnsi="Times New Roman" w:cs="Times New Roman"/>
          <w:color w:val="auto"/>
        </w:rPr>
        <w:t xml:space="preserve">syntetickém účtu 315 </w:t>
      </w:r>
      <w:r w:rsidR="006902D4">
        <w:rPr>
          <w:rFonts w:ascii="Times New Roman" w:hAnsi="Times New Roman" w:cs="Times New Roman"/>
          <w:color w:val="auto"/>
        </w:rPr>
        <w:t>–</w:t>
      </w:r>
      <w:r w:rsidRPr="00A60C72">
        <w:rPr>
          <w:rFonts w:ascii="Times New Roman" w:hAnsi="Times New Roman" w:cs="Times New Roman"/>
          <w:color w:val="auto"/>
        </w:rPr>
        <w:t xml:space="preserve"> Jiné pohledávky z hlavní činnosti, ani opravné položky evidované na</w:t>
      </w:r>
      <w:r w:rsidR="006902D4">
        <w:rPr>
          <w:rFonts w:ascii="Times New Roman" w:hAnsi="Times New Roman" w:cs="Times New Roman"/>
          <w:color w:val="auto"/>
        </w:rPr>
        <w:t> </w:t>
      </w:r>
      <w:r w:rsidRPr="00A60C72">
        <w:rPr>
          <w:rFonts w:ascii="Times New Roman" w:hAnsi="Times New Roman" w:cs="Times New Roman"/>
          <w:color w:val="auto"/>
        </w:rPr>
        <w:t xml:space="preserve">syntetickém účtu 192 </w:t>
      </w:r>
      <w:r w:rsidR="006902D4">
        <w:rPr>
          <w:rFonts w:ascii="Times New Roman" w:hAnsi="Times New Roman" w:cs="Times New Roman"/>
          <w:color w:val="auto"/>
        </w:rPr>
        <w:t>–</w:t>
      </w:r>
      <w:r w:rsidRPr="00A60C72">
        <w:rPr>
          <w:rFonts w:ascii="Times New Roman" w:hAnsi="Times New Roman" w:cs="Times New Roman"/>
          <w:color w:val="auto"/>
        </w:rPr>
        <w:t xml:space="preserve"> Opravné položky k jiným pohledávkám z hlavní činnosti, vykázány ve</w:t>
      </w:r>
      <w:r w:rsidR="006902D4">
        <w:rPr>
          <w:rFonts w:ascii="Times New Roman" w:hAnsi="Times New Roman" w:cs="Times New Roman"/>
          <w:color w:val="auto"/>
        </w:rPr>
        <w:t> </w:t>
      </w:r>
      <w:r w:rsidRPr="00A60C72">
        <w:rPr>
          <w:rFonts w:ascii="Times New Roman" w:hAnsi="Times New Roman" w:cs="Times New Roman"/>
          <w:color w:val="auto"/>
        </w:rPr>
        <w:t xml:space="preserve">správné výši. </w:t>
      </w:r>
    </w:p>
    <w:p w14:paraId="6CA42D65" w14:textId="52F24023" w:rsidR="00F9054B" w:rsidRPr="00A60C72" w:rsidRDefault="00F9054B" w:rsidP="00F9054B">
      <w:pPr>
        <w:pStyle w:val="Default"/>
        <w:ind w:firstLine="360"/>
        <w:jc w:val="both"/>
        <w:rPr>
          <w:rFonts w:ascii="Times New Roman" w:hAnsi="Times New Roman" w:cs="Times New Roman"/>
          <w:color w:val="auto"/>
        </w:rPr>
      </w:pPr>
      <w:r w:rsidRPr="00A60C72">
        <w:rPr>
          <w:rFonts w:ascii="Times New Roman" w:hAnsi="Times New Roman" w:cs="Times New Roman"/>
          <w:color w:val="auto"/>
        </w:rPr>
        <w:t xml:space="preserve">Na základě výše uvedených skutečností kontrolní skupina konstatuje, že dokladová inventura inventarizační položky účtu 315 0700 - Ostatní krátkodobé pohledávky nebyla provedena správně a průkazným způsobem, jelikož účetní evidence byla porovnána pouze se stavy pohledávek evidovanými k 31.12.2024 v modulu </w:t>
      </w:r>
      <w:proofErr w:type="spellStart"/>
      <w:r w:rsidRPr="00A60C72">
        <w:rPr>
          <w:rFonts w:ascii="Times New Roman" w:hAnsi="Times New Roman" w:cs="Times New Roman"/>
          <w:color w:val="auto"/>
        </w:rPr>
        <w:t>Ginis</w:t>
      </w:r>
      <w:proofErr w:type="spellEnd"/>
      <w:r w:rsidRPr="00A60C72">
        <w:rPr>
          <w:rFonts w:ascii="Times New Roman" w:hAnsi="Times New Roman" w:cs="Times New Roman"/>
          <w:color w:val="auto"/>
        </w:rPr>
        <w:t xml:space="preserve"> DDP (tj. v již chybně navýšené výši), a nikoliv se skutečným stavem pohledávek evidovaných k tomuto datu v prvotní operativní evidenci, tj. v</w:t>
      </w:r>
      <w:r w:rsidR="006902D4">
        <w:rPr>
          <w:rFonts w:ascii="Times New Roman" w:hAnsi="Times New Roman" w:cs="Times New Roman"/>
          <w:color w:val="auto"/>
        </w:rPr>
        <w:t> </w:t>
      </w:r>
      <w:r w:rsidRPr="00A60C72">
        <w:rPr>
          <w:rFonts w:ascii="Times New Roman" w:hAnsi="Times New Roman" w:cs="Times New Roman"/>
          <w:color w:val="auto"/>
        </w:rPr>
        <w:t xml:space="preserve">modulu ASDP. </w:t>
      </w:r>
    </w:p>
    <w:p w14:paraId="716E6D81" w14:textId="5BDE188E" w:rsidR="00F9054B" w:rsidRPr="00A60C72" w:rsidRDefault="00F9054B" w:rsidP="00F9054B">
      <w:pPr>
        <w:pStyle w:val="Default"/>
        <w:spacing w:after="15"/>
        <w:ind w:firstLine="360"/>
        <w:jc w:val="both"/>
        <w:rPr>
          <w:rFonts w:ascii="Times New Roman" w:hAnsi="Times New Roman" w:cs="Times New Roman"/>
          <w:color w:val="auto"/>
        </w:rPr>
      </w:pPr>
      <w:r w:rsidRPr="00A60C72">
        <w:rPr>
          <w:rFonts w:ascii="Times New Roman" w:hAnsi="Times New Roman" w:cs="Times New Roman"/>
          <w:color w:val="auto"/>
        </w:rPr>
        <w:t>MČ nepostupovala podle ustanovení § 30 odst. 2 zákona č. 563/1991 Sb., o účetnictví, ve znění pozdějších předpisů, podle kterého účetní jednotky při inventarizaci postupují tak, že provádějí jednu nebo více inventur a ověřují, zda zjištěný skutečný stav odpovídá stavu v účetnictví. V</w:t>
      </w:r>
      <w:r w:rsidR="006902D4">
        <w:rPr>
          <w:rFonts w:ascii="Times New Roman" w:hAnsi="Times New Roman" w:cs="Times New Roman"/>
          <w:color w:val="auto"/>
        </w:rPr>
        <w:t> </w:t>
      </w:r>
      <w:r w:rsidRPr="00A60C72">
        <w:rPr>
          <w:rFonts w:ascii="Times New Roman" w:hAnsi="Times New Roman" w:cs="Times New Roman"/>
          <w:color w:val="auto"/>
        </w:rPr>
        <w:t>důsledku této skutečnosti nebylo účetnictví MČ za rok 2024 v oblasti krátkodobých pohledávek průkazné ve smyslu ustanovení § 8 odst. 4 zákona č. 563/1991 Sb., o účetnictví, ve znění pozdějších předpisů.</w:t>
      </w:r>
    </w:p>
    <w:p w14:paraId="346BEAC5" w14:textId="77777777" w:rsidR="00F9054B" w:rsidRPr="00A60C72" w:rsidRDefault="00F9054B" w:rsidP="00F9054B">
      <w:pPr>
        <w:pStyle w:val="Default"/>
        <w:spacing w:after="15"/>
        <w:jc w:val="both"/>
        <w:rPr>
          <w:rFonts w:ascii="Times New Roman" w:hAnsi="Times New Roman" w:cs="Times New Roman"/>
          <w:color w:val="auto"/>
        </w:rPr>
      </w:pPr>
    </w:p>
    <w:p w14:paraId="2B1A599D"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b/>
          <w:bCs/>
          <w:color w:val="auto"/>
        </w:rPr>
        <w:t>Náprava:</w:t>
      </w:r>
    </w:p>
    <w:p w14:paraId="2CECB1E8" w14:textId="0AFDF9A8" w:rsidR="00F9054B" w:rsidRPr="00A60C72" w:rsidRDefault="00F9054B" w:rsidP="00F9054B">
      <w:pPr>
        <w:pStyle w:val="Default"/>
        <w:jc w:val="both"/>
        <w:rPr>
          <w:rFonts w:ascii="Times New Roman" w:hAnsi="Times New Roman" w:cs="Times New Roman"/>
          <w:color w:val="auto"/>
        </w:rPr>
      </w:pPr>
      <w:r>
        <w:rPr>
          <w:rFonts w:ascii="Times New Roman" w:hAnsi="Times New Roman" w:cs="Times New Roman"/>
          <w:color w:val="auto"/>
        </w:rPr>
        <w:t xml:space="preserve">Bylo zjištěno, že systém ASDP eviduje </w:t>
      </w:r>
      <w:r w:rsidR="004B7FDC">
        <w:rPr>
          <w:rFonts w:ascii="Times New Roman" w:hAnsi="Times New Roman" w:cs="Times New Roman"/>
          <w:color w:val="auto"/>
        </w:rPr>
        <w:t>správný</w:t>
      </w:r>
      <w:r>
        <w:rPr>
          <w:rFonts w:ascii="Times New Roman" w:hAnsi="Times New Roman" w:cs="Times New Roman"/>
          <w:color w:val="auto"/>
        </w:rPr>
        <w:t xml:space="preserve"> počet pokut ZPS, na jejichž základě jsou obesíláni občané. </w:t>
      </w:r>
      <w:r w:rsidRPr="00A60C72">
        <w:rPr>
          <w:rFonts w:ascii="Times New Roman" w:hAnsi="Times New Roman" w:cs="Times New Roman"/>
          <w:color w:val="auto"/>
        </w:rPr>
        <w:t>Odbor dopravy ve spolupráci s odborem informatiky zajistí analýzu příčin duplicitních předpisů pokut ZPS</w:t>
      </w:r>
      <w:r>
        <w:rPr>
          <w:rFonts w:ascii="Times New Roman" w:hAnsi="Times New Roman" w:cs="Times New Roman"/>
          <w:color w:val="auto"/>
        </w:rPr>
        <w:t xml:space="preserve"> v navazujících IT systémech</w:t>
      </w:r>
      <w:r w:rsidRPr="00A60C72">
        <w:rPr>
          <w:rFonts w:ascii="Times New Roman" w:hAnsi="Times New Roman" w:cs="Times New Roman"/>
          <w:color w:val="auto"/>
        </w:rPr>
        <w:t>. Vedoucí odboru informatiky ve spolupráci s IT dodavateli zajistí, aby k těmto duplicitám již nedocházelo a minimálně do konce roku 2025 bude sledovat, zda systémy fungují</w:t>
      </w:r>
      <w:r w:rsidR="004F1330">
        <w:rPr>
          <w:rFonts w:ascii="Times New Roman" w:hAnsi="Times New Roman" w:cs="Times New Roman"/>
          <w:color w:val="auto"/>
        </w:rPr>
        <w:t xml:space="preserve"> v souladu s nastavenými pravidly</w:t>
      </w:r>
      <w:r w:rsidR="007E36F4">
        <w:rPr>
          <w:rFonts w:ascii="Times New Roman" w:hAnsi="Times New Roman" w:cs="Times New Roman"/>
          <w:color w:val="auto"/>
        </w:rPr>
        <w:t>.</w:t>
      </w:r>
    </w:p>
    <w:p w14:paraId="1B81CD8C" w14:textId="77777777" w:rsidR="00F9054B" w:rsidRPr="00195FFA" w:rsidRDefault="00F9054B" w:rsidP="00F9054B">
      <w:pPr>
        <w:jc w:val="both"/>
      </w:pPr>
      <w:r w:rsidRPr="00195FFA">
        <w:rPr>
          <w:u w:val="single"/>
        </w:rPr>
        <w:t>Odpovědná osoba</w:t>
      </w:r>
      <w:r w:rsidRPr="00195FFA">
        <w:t xml:space="preserve">: vedoucí </w:t>
      </w:r>
      <w:r w:rsidRPr="00A60C72">
        <w:t>OD a vedoucí IO</w:t>
      </w:r>
    </w:p>
    <w:p w14:paraId="5DB72E3A" w14:textId="77777777" w:rsidR="00F9054B" w:rsidRPr="00A60C72" w:rsidRDefault="00F9054B" w:rsidP="00F9054B">
      <w:pPr>
        <w:jc w:val="both"/>
      </w:pPr>
      <w:r w:rsidRPr="00195FFA">
        <w:rPr>
          <w:u w:val="single"/>
        </w:rPr>
        <w:t>Termín</w:t>
      </w:r>
      <w:r w:rsidRPr="00195FFA">
        <w:t xml:space="preserve">: </w:t>
      </w:r>
      <w:r w:rsidRPr="00A60C72">
        <w:t>31</w:t>
      </w:r>
      <w:r w:rsidRPr="00195FFA">
        <w:t>.</w:t>
      </w:r>
      <w:r w:rsidRPr="00A60C72">
        <w:t>12</w:t>
      </w:r>
      <w:r w:rsidRPr="00195FFA">
        <w:t>.2025</w:t>
      </w:r>
    </w:p>
    <w:p w14:paraId="57755404" w14:textId="77777777" w:rsidR="00F9054B" w:rsidRDefault="00F9054B" w:rsidP="00F9054B">
      <w:pPr>
        <w:pStyle w:val="Default"/>
        <w:spacing w:after="15"/>
        <w:jc w:val="both"/>
        <w:rPr>
          <w:sz w:val="22"/>
          <w:szCs w:val="22"/>
        </w:rPr>
      </w:pPr>
    </w:p>
    <w:p w14:paraId="4B24FB57" w14:textId="77777777" w:rsidR="00F9054B" w:rsidRDefault="00F9054B" w:rsidP="00F9054B">
      <w:pPr>
        <w:pStyle w:val="Default"/>
        <w:spacing w:after="15"/>
        <w:jc w:val="both"/>
        <w:rPr>
          <w:sz w:val="22"/>
          <w:szCs w:val="22"/>
        </w:rPr>
      </w:pPr>
    </w:p>
    <w:p w14:paraId="64CB02EF" w14:textId="77777777" w:rsidR="00F9054B" w:rsidRPr="006902D4" w:rsidRDefault="00F9054B" w:rsidP="00F9054B">
      <w:pPr>
        <w:pStyle w:val="Default"/>
        <w:rPr>
          <w:rFonts w:ascii="Times New Roman" w:hAnsi="Times New Roman" w:cs="Times New Roman"/>
          <w:b/>
          <w:bCs/>
          <w:sz w:val="28"/>
          <w:szCs w:val="28"/>
        </w:rPr>
      </w:pPr>
      <w:r w:rsidRPr="006902D4">
        <w:rPr>
          <w:rFonts w:ascii="Times New Roman" w:hAnsi="Times New Roman" w:cs="Times New Roman"/>
          <w:b/>
          <w:bCs/>
          <w:sz w:val="28"/>
          <w:szCs w:val="28"/>
        </w:rPr>
        <w:t xml:space="preserve">C. Plnění opatření přijatých k nápravě chyb a nedostatků </w:t>
      </w:r>
    </w:p>
    <w:p w14:paraId="5B3C6BDB" w14:textId="77777777" w:rsidR="00F9054B" w:rsidRPr="00280C7B" w:rsidRDefault="00F9054B" w:rsidP="00F9054B">
      <w:pPr>
        <w:pStyle w:val="Default"/>
        <w:rPr>
          <w:rFonts w:ascii="Times New Roman" w:hAnsi="Times New Roman" w:cs="Times New Roman"/>
        </w:rPr>
      </w:pPr>
    </w:p>
    <w:p w14:paraId="38029304" w14:textId="77777777" w:rsidR="00F9054B" w:rsidRPr="00280C7B" w:rsidRDefault="00F9054B" w:rsidP="00F9054B">
      <w:pPr>
        <w:pStyle w:val="Default"/>
        <w:jc w:val="both"/>
        <w:rPr>
          <w:rFonts w:ascii="Times New Roman" w:hAnsi="Times New Roman" w:cs="Times New Roman"/>
        </w:rPr>
      </w:pPr>
      <w:r w:rsidRPr="00280C7B">
        <w:rPr>
          <w:rFonts w:ascii="Times New Roman" w:hAnsi="Times New Roman" w:cs="Times New Roman"/>
          <w:b/>
          <w:bCs/>
        </w:rPr>
        <w:t xml:space="preserve">a) Při přezkoumání hospodaření MČ za rok 2023 a popř. předchozí roky </w:t>
      </w:r>
    </w:p>
    <w:p w14:paraId="55CECDDA" w14:textId="77777777" w:rsidR="00F9054B" w:rsidRPr="00280C7B" w:rsidRDefault="00F9054B" w:rsidP="00F9054B">
      <w:pPr>
        <w:pStyle w:val="Default"/>
        <w:spacing w:after="15"/>
        <w:jc w:val="both"/>
        <w:rPr>
          <w:rFonts w:ascii="Times New Roman" w:hAnsi="Times New Roman" w:cs="Times New Roman"/>
        </w:rPr>
      </w:pPr>
      <w:r w:rsidRPr="00280C7B">
        <w:rPr>
          <w:rFonts w:ascii="Times New Roman" w:hAnsi="Times New Roman" w:cs="Times New Roman"/>
        </w:rPr>
        <w:t xml:space="preserve">• </w:t>
      </w:r>
      <w:r w:rsidRPr="00280C7B">
        <w:rPr>
          <w:rFonts w:ascii="Times New Roman" w:hAnsi="Times New Roman" w:cs="Times New Roman"/>
          <w:b/>
          <w:bCs/>
        </w:rPr>
        <w:t xml:space="preserve">byly zjištěny následující chyby a nedostatky </w:t>
      </w:r>
      <w:r w:rsidRPr="00280C7B">
        <w:rPr>
          <w:rFonts w:ascii="Times New Roman" w:hAnsi="Times New Roman" w:cs="Times New Roman"/>
        </w:rPr>
        <w:t>(pozn.: pouze nenapravené chyby a nedostatky ke dni ukončení přezkoumání hospodaření za předchozí rok):</w:t>
      </w:r>
    </w:p>
    <w:p w14:paraId="79BC1662" w14:textId="77777777" w:rsidR="00F9054B" w:rsidRPr="00280C7B" w:rsidRDefault="00F9054B" w:rsidP="00F9054B">
      <w:pPr>
        <w:pStyle w:val="Default"/>
        <w:spacing w:after="15"/>
        <w:jc w:val="both"/>
        <w:rPr>
          <w:rFonts w:ascii="Times New Roman" w:hAnsi="Times New Roman" w:cs="Times New Roman"/>
        </w:rPr>
      </w:pPr>
    </w:p>
    <w:p w14:paraId="3FB3A6E9" w14:textId="77777777" w:rsidR="00F9054B" w:rsidRPr="00280C7B" w:rsidRDefault="00F9054B" w:rsidP="00F9054B">
      <w:pPr>
        <w:pStyle w:val="Default"/>
        <w:jc w:val="both"/>
        <w:rPr>
          <w:rFonts w:ascii="Times New Roman" w:hAnsi="Times New Roman" w:cs="Times New Roman"/>
          <w:u w:val="single"/>
        </w:rPr>
      </w:pPr>
      <w:r w:rsidRPr="00280C7B">
        <w:rPr>
          <w:rFonts w:ascii="Times New Roman" w:hAnsi="Times New Roman" w:cs="Times New Roman"/>
          <w:u w:val="single"/>
        </w:rPr>
        <w:t xml:space="preserve">Předmět: Zákon č. 420/2004 Sb. § 2 odst. 2 písm. h) účetnictví vedené územním celkem </w:t>
      </w:r>
    </w:p>
    <w:p w14:paraId="6A17157A" w14:textId="77777777" w:rsidR="00F9054B" w:rsidRPr="00280C7B" w:rsidRDefault="00F9054B" w:rsidP="00F9054B">
      <w:pPr>
        <w:pStyle w:val="Default"/>
        <w:jc w:val="both"/>
        <w:rPr>
          <w:rFonts w:ascii="Times New Roman" w:hAnsi="Times New Roman" w:cs="Times New Roman"/>
        </w:rPr>
      </w:pPr>
      <w:r w:rsidRPr="00280C7B">
        <w:rPr>
          <w:rFonts w:ascii="Times New Roman" w:hAnsi="Times New Roman" w:cs="Times New Roman"/>
          <w:i/>
          <w:iCs/>
        </w:rPr>
        <w:t xml:space="preserve">Právní předpis: Zákon č. 320/2001 Sb., o finanční kontrole, ve znění pozdějších předpisů </w:t>
      </w:r>
    </w:p>
    <w:p w14:paraId="129FEB8C" w14:textId="77777777" w:rsidR="00F9054B" w:rsidRPr="00280C7B" w:rsidRDefault="00F9054B" w:rsidP="00F9054B">
      <w:pPr>
        <w:pStyle w:val="Default"/>
        <w:numPr>
          <w:ilvl w:val="0"/>
          <w:numId w:val="30"/>
        </w:numPr>
        <w:jc w:val="both"/>
        <w:rPr>
          <w:rFonts w:ascii="Times New Roman" w:hAnsi="Times New Roman" w:cs="Times New Roman"/>
        </w:rPr>
      </w:pPr>
      <w:r w:rsidRPr="00280C7B">
        <w:rPr>
          <w:rFonts w:ascii="Times New Roman" w:hAnsi="Times New Roman" w:cs="Times New Roman"/>
          <w:i/>
          <w:iCs/>
        </w:rPr>
        <w:t xml:space="preserve">ustanovení § 9 odst. 3 </w:t>
      </w:r>
    </w:p>
    <w:p w14:paraId="1C1C27DD" w14:textId="77777777" w:rsidR="00F9054B" w:rsidRPr="00280C7B" w:rsidRDefault="00F9054B" w:rsidP="00F9054B">
      <w:pPr>
        <w:pStyle w:val="Default"/>
        <w:jc w:val="both"/>
        <w:rPr>
          <w:rFonts w:ascii="Times New Roman" w:hAnsi="Times New Roman" w:cs="Times New Roman"/>
        </w:rPr>
      </w:pPr>
    </w:p>
    <w:p w14:paraId="7F320021" w14:textId="48D59ADF" w:rsidR="00F9054B" w:rsidRPr="00280C7B" w:rsidRDefault="00F9054B" w:rsidP="00F9054B">
      <w:pPr>
        <w:pStyle w:val="Default"/>
        <w:ind w:firstLine="360"/>
        <w:jc w:val="both"/>
        <w:rPr>
          <w:rFonts w:ascii="Times New Roman" w:hAnsi="Times New Roman" w:cs="Times New Roman"/>
        </w:rPr>
      </w:pPr>
      <w:r w:rsidRPr="00280C7B">
        <w:rPr>
          <w:rFonts w:ascii="Times New Roman" w:hAnsi="Times New Roman" w:cs="Times New Roman"/>
        </w:rPr>
        <w:t>Při kontrole hospodaření s majetkem a příspěvkem poskytnutým z rozpočtu MČ zřízené příspěvkové organizaci Mateřská škola, Praha 8, Řešovská 8/490, IČ 709 19 739 (dále jen MŠ), kontrolní skupina zjistila, že dle Zřizovací listiny MŠ ze dne 21.05.2001 schválené Zastupitelstvem MČ dne 25.04.2021, usnesením č. 14/13.ZMČ/2001, byl MŠ svěřen majetek k</w:t>
      </w:r>
      <w:r w:rsidR="009F40B1">
        <w:rPr>
          <w:rFonts w:ascii="Times New Roman" w:hAnsi="Times New Roman" w:cs="Times New Roman"/>
        </w:rPr>
        <w:t> </w:t>
      </w:r>
      <w:r w:rsidRPr="00280C7B">
        <w:rPr>
          <w:rFonts w:ascii="Times New Roman" w:hAnsi="Times New Roman" w:cs="Times New Roman"/>
        </w:rPr>
        <w:t>užívání dle příloh č. 1 a 2. V Příloze č. 1 byl vymezen svěřený movitý majetek, v Příloze č. 2 byl vymezen svěřený nemovitý majetek. Kontrolní skupina zjistila, že MŠ nevedla svěřený nemovitý majetek na majetkových účtech ve svém účetnictví. Svěřený nemovitý majetek nebyl vykázán v</w:t>
      </w:r>
      <w:r w:rsidR="009F40B1">
        <w:rPr>
          <w:rFonts w:ascii="Times New Roman" w:hAnsi="Times New Roman" w:cs="Times New Roman"/>
        </w:rPr>
        <w:t> </w:t>
      </w:r>
      <w:r w:rsidRPr="00280C7B">
        <w:rPr>
          <w:rFonts w:ascii="Times New Roman" w:hAnsi="Times New Roman" w:cs="Times New Roman"/>
        </w:rPr>
        <w:t xml:space="preserve">rozvaze MŠ ke dni 30.11.2023. Tato skutečnost nebyla MČ jako zřizovatelem MŠ zjištěna. </w:t>
      </w:r>
    </w:p>
    <w:p w14:paraId="3C3BF0B1" w14:textId="77777777" w:rsidR="00F9054B" w:rsidRPr="00280C7B" w:rsidRDefault="00F9054B" w:rsidP="00F9054B">
      <w:pPr>
        <w:pStyle w:val="Default"/>
        <w:ind w:firstLine="360"/>
        <w:jc w:val="both"/>
        <w:rPr>
          <w:rFonts w:ascii="Times New Roman" w:hAnsi="Times New Roman" w:cs="Times New Roman"/>
        </w:rPr>
      </w:pPr>
      <w:r w:rsidRPr="00280C7B">
        <w:rPr>
          <w:rFonts w:ascii="Times New Roman" w:hAnsi="Times New Roman" w:cs="Times New Roman"/>
        </w:rPr>
        <w:t xml:space="preserve">Nebylo tak možné potvrdit, že systém finanční kontroly, který je MČ povinna vytvořit podle níže uvedeného zákona a kterým zajistí finanční kontrolu jak svého hospodaření, tak i hospodaření svých organizačních složek a příspěvkových organizací ve své působnosti, ve smyslu ustanovení </w:t>
      </w:r>
      <w:r w:rsidRPr="00280C7B">
        <w:rPr>
          <w:rFonts w:ascii="Times New Roman" w:hAnsi="Times New Roman" w:cs="Times New Roman"/>
        </w:rPr>
        <w:lastRenderedPageBreak/>
        <w:t xml:space="preserve">§ 9 odst. 3 zákona č. 320/2001 Sb., o finanční kontrole ve veřejné správě a o změně některých zákonů (zákon o finanční kontrole), ve znění pozdějších předpisů, byl ve vztahu k organizaci funkční. </w:t>
      </w:r>
    </w:p>
    <w:p w14:paraId="628D9622" w14:textId="77777777" w:rsidR="00F9054B" w:rsidRDefault="00F9054B" w:rsidP="00F9054B">
      <w:pPr>
        <w:pStyle w:val="Default"/>
        <w:jc w:val="right"/>
        <w:rPr>
          <w:rFonts w:ascii="Times New Roman" w:hAnsi="Times New Roman" w:cs="Times New Roman"/>
          <w:b/>
          <w:bCs/>
          <w:i/>
          <w:iCs/>
        </w:rPr>
      </w:pPr>
      <w:r w:rsidRPr="00280C7B">
        <w:rPr>
          <w:rFonts w:ascii="Times New Roman" w:hAnsi="Times New Roman" w:cs="Times New Roman"/>
          <w:b/>
          <w:bCs/>
          <w:i/>
          <w:iCs/>
        </w:rPr>
        <w:t>NENAPRAVENO.</w:t>
      </w:r>
    </w:p>
    <w:p w14:paraId="6F426464" w14:textId="203FE918" w:rsidR="00F9054B" w:rsidRDefault="00F9054B" w:rsidP="00F9054B">
      <w:pPr>
        <w:pStyle w:val="Default"/>
        <w:spacing w:after="15"/>
        <w:ind w:firstLine="284"/>
        <w:jc w:val="both"/>
        <w:rPr>
          <w:rFonts w:ascii="Times New Roman" w:hAnsi="Times New Roman" w:cs="Times New Roman"/>
        </w:rPr>
      </w:pPr>
      <w:r w:rsidRPr="00280C7B">
        <w:rPr>
          <w:rFonts w:ascii="Times New Roman" w:hAnsi="Times New Roman" w:cs="Times New Roman"/>
        </w:rPr>
        <w:t>MČ přijala opatření k nápravě uvedeného nedostatku „Příkazem starosty MČ o odstranění nedostatků z přezkumu hospodaření městské části Praha 8 za období od 01.01.2023 do</w:t>
      </w:r>
      <w:r w:rsidR="009F40B1">
        <w:rPr>
          <w:rFonts w:ascii="Times New Roman" w:hAnsi="Times New Roman" w:cs="Times New Roman"/>
        </w:rPr>
        <w:t> </w:t>
      </w:r>
      <w:r w:rsidRPr="00280C7B">
        <w:rPr>
          <w:rFonts w:ascii="Times New Roman" w:hAnsi="Times New Roman" w:cs="Times New Roman"/>
        </w:rPr>
        <w:t xml:space="preserve">31.12.2023“, </w:t>
      </w:r>
      <w:r w:rsidRPr="002E014E">
        <w:rPr>
          <w:rFonts w:ascii="Times New Roman" w:hAnsi="Times New Roman" w:cs="Times New Roman"/>
          <w:b/>
          <w:bCs/>
          <w:u w:val="single"/>
        </w:rPr>
        <w:t>termín k provedení nápravy tohoto nedostatku byl tímto opatřením stanoven do 12/2025</w:t>
      </w:r>
      <w:r w:rsidRPr="00280C7B">
        <w:rPr>
          <w:rFonts w:ascii="Times New Roman" w:hAnsi="Times New Roman" w:cs="Times New Roman"/>
        </w:rPr>
        <w:t>. V době provádění konečného přezkoumání hospodaření MČ za rok 2024 nebyl nedostatek napraven, kontrola plnění opatření přijatého k nápravě nedostatku tak bude opětovně provedena v rámci přezkoumání hospodaření MČ za rok 2025.</w:t>
      </w:r>
    </w:p>
    <w:p w14:paraId="13ABA58F" w14:textId="77777777" w:rsidR="00F9054B" w:rsidRDefault="00F9054B" w:rsidP="00F9054B">
      <w:pPr>
        <w:pStyle w:val="Default"/>
        <w:spacing w:after="15"/>
        <w:ind w:firstLine="708"/>
        <w:jc w:val="both"/>
        <w:rPr>
          <w:rFonts w:ascii="Times New Roman" w:hAnsi="Times New Roman" w:cs="Times New Roman"/>
        </w:rPr>
      </w:pPr>
    </w:p>
    <w:p w14:paraId="3AFB089C" w14:textId="77777777" w:rsidR="00F9054B" w:rsidRPr="00C97835" w:rsidRDefault="00F9054B" w:rsidP="00F9054B">
      <w:pPr>
        <w:pStyle w:val="Default"/>
        <w:jc w:val="both"/>
        <w:rPr>
          <w:rFonts w:ascii="Times New Roman" w:hAnsi="Times New Roman" w:cs="Times New Roman"/>
          <w:u w:val="single"/>
        </w:rPr>
      </w:pPr>
    </w:p>
    <w:p w14:paraId="4B862236" w14:textId="77777777" w:rsidR="00F9054B" w:rsidRPr="00C97835" w:rsidRDefault="00F9054B" w:rsidP="00F9054B">
      <w:pPr>
        <w:pStyle w:val="Default"/>
        <w:jc w:val="both"/>
        <w:rPr>
          <w:rFonts w:ascii="Times New Roman" w:hAnsi="Times New Roman" w:cs="Times New Roman"/>
          <w:u w:val="single"/>
        </w:rPr>
      </w:pPr>
      <w:r w:rsidRPr="00C97835">
        <w:rPr>
          <w:rFonts w:ascii="Times New Roman" w:hAnsi="Times New Roman" w:cs="Times New Roman"/>
          <w:u w:val="single"/>
        </w:rPr>
        <w:t xml:space="preserve">Předmět: Zákon č. 420/2004 Sb. § 2 odst. 2 písm. d) stav pohledávek a závazků a nakládání s nimi </w:t>
      </w:r>
    </w:p>
    <w:p w14:paraId="73DB4DC7"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i/>
          <w:iCs/>
        </w:rPr>
        <w:t xml:space="preserve">Právní předpis: Zákon č. 131/2000 Sb., o hlavním městě Praze, ve znění pozdějších předpisů </w:t>
      </w:r>
    </w:p>
    <w:p w14:paraId="3F43B52B" w14:textId="77777777" w:rsidR="00F9054B" w:rsidRPr="00C97835" w:rsidRDefault="00F9054B" w:rsidP="00F9054B">
      <w:pPr>
        <w:pStyle w:val="Default"/>
        <w:numPr>
          <w:ilvl w:val="0"/>
          <w:numId w:val="31"/>
        </w:numPr>
        <w:jc w:val="both"/>
        <w:rPr>
          <w:rFonts w:ascii="Times New Roman" w:hAnsi="Times New Roman" w:cs="Times New Roman"/>
        </w:rPr>
      </w:pPr>
      <w:r w:rsidRPr="00C97835">
        <w:rPr>
          <w:rFonts w:ascii="Times New Roman" w:hAnsi="Times New Roman" w:cs="Times New Roman"/>
          <w:i/>
          <w:iCs/>
        </w:rPr>
        <w:t xml:space="preserve">ustanovení § 35 odst. 4 </w:t>
      </w:r>
    </w:p>
    <w:p w14:paraId="2389FF6D" w14:textId="77777777" w:rsidR="00F9054B" w:rsidRPr="00C97835" w:rsidRDefault="00F9054B" w:rsidP="00F9054B">
      <w:pPr>
        <w:pStyle w:val="Default"/>
        <w:jc w:val="both"/>
        <w:rPr>
          <w:rFonts w:ascii="Times New Roman" w:hAnsi="Times New Roman" w:cs="Times New Roman"/>
        </w:rPr>
      </w:pPr>
    </w:p>
    <w:p w14:paraId="0018B30C" w14:textId="0484A5C0" w:rsidR="00F9054B" w:rsidRPr="00C97835" w:rsidRDefault="00F9054B" w:rsidP="00F9054B">
      <w:pPr>
        <w:pStyle w:val="Default"/>
        <w:numPr>
          <w:ilvl w:val="0"/>
          <w:numId w:val="30"/>
        </w:numPr>
        <w:jc w:val="both"/>
        <w:rPr>
          <w:rFonts w:ascii="Times New Roman" w:hAnsi="Times New Roman" w:cs="Times New Roman"/>
        </w:rPr>
      </w:pPr>
      <w:r w:rsidRPr="00C97835">
        <w:rPr>
          <w:rFonts w:ascii="Times New Roman" w:hAnsi="Times New Roman" w:cs="Times New Roman"/>
        </w:rPr>
        <w:t>Při přezkoumání pohledávek v oblasti podnikatelské činnosti byly v knize odeslaných faktur Odboru Kultury č. 117 „OK ZČ Kniha odeslaných faktur“ zjištěny neuhrazené pohledávky po</w:t>
      </w:r>
      <w:r w:rsidR="009F40B1">
        <w:rPr>
          <w:rFonts w:ascii="Times New Roman" w:hAnsi="Times New Roman" w:cs="Times New Roman"/>
        </w:rPr>
        <w:t> </w:t>
      </w:r>
      <w:r w:rsidRPr="00C97835">
        <w:rPr>
          <w:rFonts w:ascii="Times New Roman" w:hAnsi="Times New Roman" w:cs="Times New Roman"/>
        </w:rPr>
        <w:t xml:space="preserve">splatnosti v celkové výši 229 151,36 Kč za zveřejněnou inzerci v místním periodiku Osmička evidované na účtu 311 0010 – „Odběratelé – předpis faktur inzerce Osmička“, vzniklé za období od 01.01.2018 do 30.06.2024, ke kterým nebyly doloženy žádné úkony směřující k jejich vymožení: </w:t>
      </w:r>
    </w:p>
    <w:p w14:paraId="4E997A8C"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2018 byly evidovány 3 případy v celkové výši 13 444 Kč, </w:t>
      </w:r>
    </w:p>
    <w:p w14:paraId="70FF269F"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2019 byl evidován 1 případ v celkové výši 2 420 Kč, </w:t>
      </w:r>
    </w:p>
    <w:p w14:paraId="0779A078"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2020 byly evidovány 9 případů v celkové výši 2 780,15 Kč, </w:t>
      </w:r>
    </w:p>
    <w:p w14:paraId="600DD510"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2021 bylo evidováno 31 případů v celkové výši 46 630,95 Kč, </w:t>
      </w:r>
    </w:p>
    <w:p w14:paraId="0DB3ACDE"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2022 bylo evidováno 26 případů v celkové výši 56 553,81 Kč, </w:t>
      </w:r>
    </w:p>
    <w:p w14:paraId="40FB8343"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rok 2023 bylo evidováno 22 případů v celkové výši 91 354 Kč, </w:t>
      </w:r>
    </w:p>
    <w:p w14:paraId="0BE7672D" w14:textId="77777777"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 xml:space="preserve">- za období 01-06/2024 bylo evidováno 15 případů v celkové výši 15 968,45 Kč. </w:t>
      </w:r>
    </w:p>
    <w:p w14:paraId="476DE7EA" w14:textId="37CDB0D4" w:rsidR="00F9054B" w:rsidRPr="00C97835" w:rsidRDefault="00F9054B" w:rsidP="00F9054B">
      <w:pPr>
        <w:pStyle w:val="Default"/>
        <w:jc w:val="both"/>
        <w:rPr>
          <w:rFonts w:ascii="Times New Roman" w:hAnsi="Times New Roman" w:cs="Times New Roman"/>
        </w:rPr>
      </w:pPr>
      <w:r w:rsidRPr="00C97835">
        <w:rPr>
          <w:rFonts w:ascii="Times New Roman" w:hAnsi="Times New Roman" w:cs="Times New Roman"/>
        </w:rPr>
        <w:t>V těchto případech MČ nepostupovala v souladu s ustanovením § 35 odst. 4 zákona č. 131/2000 Sb., o hlavním městě Praze, ve znění pozdějších předpisů, podle kterého jsou městské části povinny trvale sledovat, zda dlužníci včas a řádně plní své závazky, a zabezpečit, aby nedošlo k</w:t>
      </w:r>
      <w:r w:rsidR="009F40B1">
        <w:rPr>
          <w:rFonts w:ascii="Times New Roman" w:hAnsi="Times New Roman" w:cs="Times New Roman"/>
        </w:rPr>
        <w:t> </w:t>
      </w:r>
      <w:r w:rsidRPr="00C97835">
        <w:rPr>
          <w:rFonts w:ascii="Times New Roman" w:hAnsi="Times New Roman" w:cs="Times New Roman"/>
        </w:rPr>
        <w:t xml:space="preserve">promlčení nebo zániku práv z těchto závazků vyplývajících. </w:t>
      </w:r>
    </w:p>
    <w:p w14:paraId="5E66C92F" w14:textId="77777777" w:rsidR="00F9054B" w:rsidRDefault="00F9054B" w:rsidP="00F9054B">
      <w:pPr>
        <w:pStyle w:val="Default"/>
        <w:spacing w:after="15"/>
        <w:ind w:firstLine="708"/>
        <w:jc w:val="right"/>
        <w:rPr>
          <w:b/>
          <w:bCs/>
          <w:i/>
          <w:iCs/>
          <w:sz w:val="22"/>
          <w:szCs w:val="22"/>
        </w:rPr>
      </w:pPr>
      <w:r w:rsidRPr="00C97835">
        <w:rPr>
          <w:rFonts w:ascii="Times New Roman" w:hAnsi="Times New Roman" w:cs="Times New Roman"/>
          <w:b/>
          <w:bCs/>
          <w:i/>
          <w:iCs/>
        </w:rPr>
        <w:t>NENAPRAVENO</w:t>
      </w:r>
      <w:r>
        <w:rPr>
          <w:b/>
          <w:bCs/>
          <w:i/>
          <w:iCs/>
          <w:sz w:val="22"/>
          <w:szCs w:val="22"/>
        </w:rPr>
        <w:t>.</w:t>
      </w:r>
    </w:p>
    <w:p w14:paraId="5DDEC1BB" w14:textId="77777777" w:rsidR="00F9054B" w:rsidRPr="00A60C72" w:rsidRDefault="00F9054B" w:rsidP="00F9054B">
      <w:pPr>
        <w:pStyle w:val="Default"/>
        <w:jc w:val="both"/>
        <w:rPr>
          <w:rFonts w:ascii="Times New Roman" w:hAnsi="Times New Roman" w:cs="Times New Roman"/>
          <w:color w:val="auto"/>
        </w:rPr>
      </w:pPr>
      <w:r w:rsidRPr="00A60C72">
        <w:rPr>
          <w:rFonts w:ascii="Times New Roman" w:hAnsi="Times New Roman" w:cs="Times New Roman"/>
          <w:b/>
          <w:bCs/>
          <w:color w:val="auto"/>
        </w:rPr>
        <w:t>Náprava:</w:t>
      </w:r>
    </w:p>
    <w:p w14:paraId="45BAFE92" w14:textId="18E71C2C" w:rsidR="00F9054B" w:rsidRPr="00195FFA" w:rsidRDefault="00F9054B" w:rsidP="00F9054B">
      <w:pPr>
        <w:jc w:val="both"/>
      </w:pPr>
      <w:r w:rsidRPr="00A60C72">
        <w:t>O</w:t>
      </w:r>
      <w:r>
        <w:t>K</w:t>
      </w:r>
      <w:r w:rsidRPr="00A60C72">
        <w:t>SM</w:t>
      </w:r>
      <w:r>
        <w:t>PP</w:t>
      </w:r>
      <w:r w:rsidRPr="00A60C72">
        <w:t xml:space="preserve"> </w:t>
      </w:r>
      <w:r>
        <w:t>musí</w:t>
      </w:r>
      <w:r w:rsidRPr="00A60C72">
        <w:t xml:space="preserve"> kontaktovat dlužníky k úhradě dlužných částek písemně</w:t>
      </w:r>
      <w:r>
        <w:t xml:space="preserve"> a podle potřeby i</w:t>
      </w:r>
      <w:r w:rsidR="00CA3017">
        <w:t> </w:t>
      </w:r>
      <w:r>
        <w:t>opakovaně</w:t>
      </w:r>
      <w:r w:rsidRPr="00A60C72">
        <w:t>.</w:t>
      </w:r>
    </w:p>
    <w:p w14:paraId="31C50680" w14:textId="77777777" w:rsidR="00F9054B" w:rsidRPr="00A60C72" w:rsidRDefault="00F9054B" w:rsidP="00F9054B">
      <w:pPr>
        <w:pStyle w:val="Default"/>
        <w:jc w:val="both"/>
        <w:rPr>
          <w:rFonts w:ascii="Times New Roman" w:hAnsi="Times New Roman" w:cs="Times New Roman"/>
          <w:color w:val="auto"/>
        </w:rPr>
      </w:pPr>
    </w:p>
    <w:p w14:paraId="6E971FB5" w14:textId="77777777" w:rsidR="00F9054B" w:rsidRPr="00195FFA" w:rsidRDefault="00F9054B" w:rsidP="00F9054B">
      <w:pPr>
        <w:jc w:val="both"/>
      </w:pPr>
      <w:r w:rsidRPr="00195FFA">
        <w:rPr>
          <w:u w:val="single"/>
        </w:rPr>
        <w:t>Odpovědná osoba</w:t>
      </w:r>
      <w:r w:rsidRPr="00195FFA">
        <w:t xml:space="preserve">: vedoucí </w:t>
      </w:r>
      <w:r>
        <w:t>OKSMPP</w:t>
      </w:r>
    </w:p>
    <w:p w14:paraId="36A86056" w14:textId="77777777" w:rsidR="00F9054B" w:rsidRPr="00A60C72" w:rsidRDefault="00F9054B" w:rsidP="00F9054B">
      <w:pPr>
        <w:jc w:val="both"/>
      </w:pPr>
      <w:r w:rsidRPr="00195FFA">
        <w:rPr>
          <w:u w:val="single"/>
        </w:rPr>
        <w:t>Termín</w:t>
      </w:r>
      <w:r w:rsidRPr="00195FFA">
        <w:t xml:space="preserve">: </w:t>
      </w:r>
      <w:r w:rsidRPr="00A60C72">
        <w:t>31</w:t>
      </w:r>
      <w:r w:rsidRPr="00195FFA">
        <w:t>.</w:t>
      </w:r>
      <w:r w:rsidRPr="00A60C72">
        <w:t>12</w:t>
      </w:r>
      <w:r w:rsidRPr="00195FFA">
        <w:t>.2025</w:t>
      </w:r>
    </w:p>
    <w:p w14:paraId="1369DDD2" w14:textId="77777777" w:rsidR="007F56EA" w:rsidRPr="00CB02A2" w:rsidRDefault="007F56EA" w:rsidP="007F56EA">
      <w:pPr>
        <w:pStyle w:val="Default"/>
        <w:rPr>
          <w:b/>
          <w:bCs/>
          <w:i/>
          <w:iCs/>
          <w:sz w:val="29"/>
          <w:szCs w:val="29"/>
          <w:highlight w:val="yellow"/>
        </w:rPr>
      </w:pPr>
    </w:p>
    <w:sectPr w:rsidR="007F56EA" w:rsidRPr="00CB02A2" w:rsidSect="006F261E">
      <w:footerReference w:type="default" r:id="rId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DAEE" w14:textId="77777777" w:rsidR="00127896" w:rsidRDefault="00127896" w:rsidP="00AD76D3">
      <w:r>
        <w:separator/>
      </w:r>
    </w:p>
  </w:endnote>
  <w:endnote w:type="continuationSeparator" w:id="0">
    <w:p w14:paraId="4268DB20" w14:textId="77777777" w:rsidR="00127896" w:rsidRDefault="00127896" w:rsidP="00AD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525371"/>
      <w:docPartObj>
        <w:docPartGallery w:val="Page Numbers (Bottom of Page)"/>
        <w:docPartUnique/>
      </w:docPartObj>
    </w:sdtPr>
    <w:sdtEndPr/>
    <w:sdtContent>
      <w:p w14:paraId="65F124D8" w14:textId="5B40516A" w:rsidR="001E5C22" w:rsidRDefault="001E5C22">
        <w:pPr>
          <w:pStyle w:val="Zpat"/>
          <w:jc w:val="center"/>
        </w:pPr>
        <w:r>
          <w:fldChar w:fldCharType="begin"/>
        </w:r>
        <w:r>
          <w:instrText>PAGE   \* MERGEFORMAT</w:instrText>
        </w:r>
        <w:r>
          <w:fldChar w:fldCharType="separate"/>
        </w:r>
        <w:r>
          <w:t>2</w:t>
        </w:r>
        <w:r>
          <w:fldChar w:fldCharType="end"/>
        </w:r>
      </w:p>
    </w:sdtContent>
  </w:sdt>
  <w:p w14:paraId="213C18EA" w14:textId="77777777" w:rsidR="00AD76D3" w:rsidRDefault="00AD76D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BC8D" w14:textId="77777777" w:rsidR="00127896" w:rsidRDefault="00127896" w:rsidP="00AD76D3">
      <w:r>
        <w:separator/>
      </w:r>
    </w:p>
  </w:footnote>
  <w:footnote w:type="continuationSeparator" w:id="0">
    <w:p w14:paraId="2C23DC35" w14:textId="77777777" w:rsidR="00127896" w:rsidRDefault="00127896" w:rsidP="00AD7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A1D8C6"/>
    <w:multiLevelType w:val="hybridMultilevel"/>
    <w:tmpl w:val="E22E8570"/>
    <w:lvl w:ilvl="0" w:tplc="0405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556855"/>
    <w:multiLevelType w:val="hybridMultilevel"/>
    <w:tmpl w:val="6A220746"/>
    <w:lvl w:ilvl="0" w:tplc="0405000B">
      <w:start w:val="1"/>
      <w:numFmt w:val="bullet"/>
      <w:lvlText w:val=""/>
      <w:lvlJc w:val="left"/>
      <w:pPr>
        <w:tabs>
          <w:tab w:val="num" w:pos="1778"/>
        </w:tabs>
        <w:ind w:left="1778" w:hanging="360"/>
      </w:pPr>
      <w:rPr>
        <w:rFonts w:ascii="Wingdings" w:hAnsi="Wingdings" w:hint="default"/>
      </w:rPr>
    </w:lvl>
    <w:lvl w:ilvl="1" w:tplc="04050009">
      <w:start w:val="1"/>
      <w:numFmt w:val="bullet"/>
      <w:lvlText w:val=""/>
      <w:lvlJc w:val="left"/>
      <w:pPr>
        <w:tabs>
          <w:tab w:val="num" w:pos="180"/>
        </w:tabs>
        <w:ind w:left="180" w:hanging="360"/>
      </w:pPr>
      <w:rPr>
        <w:rFonts w:ascii="Wingdings" w:hAnsi="Wingdings" w:hint="default"/>
      </w:rPr>
    </w:lvl>
    <w:lvl w:ilvl="2" w:tplc="04050005">
      <w:start w:val="1"/>
      <w:numFmt w:val="decimal"/>
      <w:lvlText w:val="%3."/>
      <w:lvlJc w:val="left"/>
      <w:pPr>
        <w:tabs>
          <w:tab w:val="num" w:pos="900"/>
        </w:tabs>
        <w:ind w:left="900" w:hanging="360"/>
      </w:pPr>
      <w:rPr>
        <w:rFonts w:cs="Times New Roman"/>
      </w:rPr>
    </w:lvl>
    <w:lvl w:ilvl="3" w:tplc="04050001">
      <w:start w:val="1"/>
      <w:numFmt w:val="decimal"/>
      <w:lvlText w:val="%4."/>
      <w:lvlJc w:val="left"/>
      <w:pPr>
        <w:tabs>
          <w:tab w:val="num" w:pos="1620"/>
        </w:tabs>
        <w:ind w:left="1620" w:hanging="360"/>
      </w:pPr>
      <w:rPr>
        <w:rFonts w:cs="Times New Roman"/>
      </w:rPr>
    </w:lvl>
    <w:lvl w:ilvl="4" w:tplc="04050003">
      <w:start w:val="1"/>
      <w:numFmt w:val="decimal"/>
      <w:lvlText w:val="%5."/>
      <w:lvlJc w:val="left"/>
      <w:pPr>
        <w:tabs>
          <w:tab w:val="num" w:pos="2340"/>
        </w:tabs>
        <w:ind w:left="2340" w:hanging="360"/>
      </w:pPr>
      <w:rPr>
        <w:rFonts w:cs="Times New Roman"/>
      </w:rPr>
    </w:lvl>
    <w:lvl w:ilvl="5" w:tplc="04050005">
      <w:start w:val="1"/>
      <w:numFmt w:val="decimal"/>
      <w:lvlText w:val="%6."/>
      <w:lvlJc w:val="left"/>
      <w:pPr>
        <w:tabs>
          <w:tab w:val="num" w:pos="3060"/>
        </w:tabs>
        <w:ind w:left="3060" w:hanging="360"/>
      </w:pPr>
      <w:rPr>
        <w:rFonts w:cs="Times New Roman"/>
      </w:rPr>
    </w:lvl>
    <w:lvl w:ilvl="6" w:tplc="04050001">
      <w:start w:val="1"/>
      <w:numFmt w:val="decimal"/>
      <w:lvlText w:val="%7."/>
      <w:lvlJc w:val="left"/>
      <w:pPr>
        <w:tabs>
          <w:tab w:val="num" w:pos="3780"/>
        </w:tabs>
        <w:ind w:left="3780" w:hanging="360"/>
      </w:pPr>
      <w:rPr>
        <w:rFonts w:cs="Times New Roman"/>
      </w:rPr>
    </w:lvl>
    <w:lvl w:ilvl="7" w:tplc="04050003">
      <w:start w:val="1"/>
      <w:numFmt w:val="decimal"/>
      <w:lvlText w:val="%8."/>
      <w:lvlJc w:val="left"/>
      <w:pPr>
        <w:tabs>
          <w:tab w:val="num" w:pos="4500"/>
        </w:tabs>
        <w:ind w:left="4500" w:hanging="360"/>
      </w:pPr>
      <w:rPr>
        <w:rFonts w:cs="Times New Roman"/>
      </w:rPr>
    </w:lvl>
    <w:lvl w:ilvl="8" w:tplc="04050005">
      <w:start w:val="1"/>
      <w:numFmt w:val="decimal"/>
      <w:lvlText w:val="%9."/>
      <w:lvlJc w:val="left"/>
      <w:pPr>
        <w:tabs>
          <w:tab w:val="num" w:pos="5220"/>
        </w:tabs>
        <w:ind w:left="5220" w:hanging="360"/>
      </w:pPr>
      <w:rPr>
        <w:rFonts w:cs="Times New Roman"/>
      </w:rPr>
    </w:lvl>
  </w:abstractNum>
  <w:abstractNum w:abstractNumId="2" w15:restartNumberingAfterBreak="0">
    <w:nsid w:val="100D7EA3"/>
    <w:multiLevelType w:val="hybridMultilevel"/>
    <w:tmpl w:val="4A90F38A"/>
    <w:lvl w:ilvl="0" w:tplc="0405000B">
      <w:start w:val="1"/>
      <w:numFmt w:val="bullet"/>
      <w:lvlText w:val=""/>
      <w:lvlJc w:val="left"/>
      <w:pPr>
        <w:tabs>
          <w:tab w:val="num" w:pos="696"/>
        </w:tabs>
        <w:ind w:left="696" w:hanging="360"/>
      </w:pPr>
      <w:rPr>
        <w:rFonts w:ascii="Wingdings" w:hAnsi="Wingdings" w:hint="default"/>
      </w:rPr>
    </w:lvl>
    <w:lvl w:ilvl="1" w:tplc="52ACEDE6">
      <w:start w:val="1"/>
      <w:numFmt w:val="bullet"/>
      <w:lvlText w:val=""/>
      <w:lvlJc w:val="left"/>
      <w:pPr>
        <w:tabs>
          <w:tab w:val="num" w:pos="1416"/>
        </w:tabs>
        <w:ind w:left="1416" w:hanging="360"/>
      </w:pPr>
      <w:rPr>
        <w:rFonts w:ascii="Symbol" w:hAnsi="Symbol" w:hint="default"/>
      </w:rPr>
    </w:lvl>
    <w:lvl w:ilvl="2" w:tplc="04050005" w:tentative="1">
      <w:start w:val="1"/>
      <w:numFmt w:val="bullet"/>
      <w:lvlText w:val=""/>
      <w:lvlJc w:val="left"/>
      <w:pPr>
        <w:tabs>
          <w:tab w:val="num" w:pos="2136"/>
        </w:tabs>
        <w:ind w:left="2136" w:hanging="360"/>
      </w:pPr>
      <w:rPr>
        <w:rFonts w:ascii="Wingdings" w:hAnsi="Wingdings" w:hint="default"/>
      </w:rPr>
    </w:lvl>
    <w:lvl w:ilvl="3" w:tplc="04050001" w:tentative="1">
      <w:start w:val="1"/>
      <w:numFmt w:val="bullet"/>
      <w:lvlText w:val=""/>
      <w:lvlJc w:val="left"/>
      <w:pPr>
        <w:tabs>
          <w:tab w:val="num" w:pos="2856"/>
        </w:tabs>
        <w:ind w:left="2856" w:hanging="360"/>
      </w:pPr>
      <w:rPr>
        <w:rFonts w:ascii="Symbol" w:hAnsi="Symbol" w:hint="default"/>
      </w:rPr>
    </w:lvl>
    <w:lvl w:ilvl="4" w:tplc="04050003" w:tentative="1">
      <w:start w:val="1"/>
      <w:numFmt w:val="bullet"/>
      <w:lvlText w:val="o"/>
      <w:lvlJc w:val="left"/>
      <w:pPr>
        <w:tabs>
          <w:tab w:val="num" w:pos="3576"/>
        </w:tabs>
        <w:ind w:left="3576" w:hanging="360"/>
      </w:pPr>
      <w:rPr>
        <w:rFonts w:ascii="Courier New" w:hAnsi="Courier New" w:hint="default"/>
      </w:rPr>
    </w:lvl>
    <w:lvl w:ilvl="5" w:tplc="04050005" w:tentative="1">
      <w:start w:val="1"/>
      <w:numFmt w:val="bullet"/>
      <w:lvlText w:val=""/>
      <w:lvlJc w:val="left"/>
      <w:pPr>
        <w:tabs>
          <w:tab w:val="num" w:pos="4296"/>
        </w:tabs>
        <w:ind w:left="4296" w:hanging="360"/>
      </w:pPr>
      <w:rPr>
        <w:rFonts w:ascii="Wingdings" w:hAnsi="Wingdings" w:hint="default"/>
      </w:rPr>
    </w:lvl>
    <w:lvl w:ilvl="6" w:tplc="04050001" w:tentative="1">
      <w:start w:val="1"/>
      <w:numFmt w:val="bullet"/>
      <w:lvlText w:val=""/>
      <w:lvlJc w:val="left"/>
      <w:pPr>
        <w:tabs>
          <w:tab w:val="num" w:pos="5016"/>
        </w:tabs>
        <w:ind w:left="5016" w:hanging="360"/>
      </w:pPr>
      <w:rPr>
        <w:rFonts w:ascii="Symbol" w:hAnsi="Symbol" w:hint="default"/>
      </w:rPr>
    </w:lvl>
    <w:lvl w:ilvl="7" w:tplc="04050003" w:tentative="1">
      <w:start w:val="1"/>
      <w:numFmt w:val="bullet"/>
      <w:lvlText w:val="o"/>
      <w:lvlJc w:val="left"/>
      <w:pPr>
        <w:tabs>
          <w:tab w:val="num" w:pos="5736"/>
        </w:tabs>
        <w:ind w:left="5736" w:hanging="360"/>
      </w:pPr>
      <w:rPr>
        <w:rFonts w:ascii="Courier New" w:hAnsi="Courier New" w:hint="default"/>
      </w:rPr>
    </w:lvl>
    <w:lvl w:ilvl="8" w:tplc="04050005" w:tentative="1">
      <w:start w:val="1"/>
      <w:numFmt w:val="bullet"/>
      <w:lvlText w:val=""/>
      <w:lvlJc w:val="left"/>
      <w:pPr>
        <w:tabs>
          <w:tab w:val="num" w:pos="6456"/>
        </w:tabs>
        <w:ind w:left="6456" w:hanging="360"/>
      </w:pPr>
      <w:rPr>
        <w:rFonts w:ascii="Wingdings" w:hAnsi="Wingdings" w:hint="default"/>
      </w:rPr>
    </w:lvl>
  </w:abstractNum>
  <w:abstractNum w:abstractNumId="3" w15:restartNumberingAfterBreak="0">
    <w:nsid w:val="111E5F3B"/>
    <w:multiLevelType w:val="hybridMultilevel"/>
    <w:tmpl w:val="54800C6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7B668AE"/>
    <w:multiLevelType w:val="hybridMultilevel"/>
    <w:tmpl w:val="821AAE10"/>
    <w:lvl w:ilvl="0" w:tplc="0405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F7D2F2C"/>
    <w:multiLevelType w:val="hybridMultilevel"/>
    <w:tmpl w:val="46D49B52"/>
    <w:lvl w:ilvl="0" w:tplc="0405000B">
      <w:numFmt w:val="decimal"/>
      <w:lvlText w:val=""/>
      <w:lvlJc w:val="left"/>
      <w:pPr>
        <w:tabs>
          <w:tab w:val="num" w:pos="-540"/>
        </w:tabs>
        <w:ind w:left="-540" w:hanging="360"/>
      </w:pPr>
      <w:rPr>
        <w:rFonts w:ascii="Wingdings" w:hAnsi="Wingdings" w:hint="default"/>
      </w:rPr>
    </w:lvl>
    <w:lvl w:ilvl="1" w:tplc="04050009">
      <w:numFmt w:val="decimal"/>
      <w:lvlText w:val=""/>
      <w:lvlJc w:val="left"/>
      <w:pPr>
        <w:tabs>
          <w:tab w:val="num" w:pos="180"/>
        </w:tabs>
        <w:ind w:left="180" w:hanging="360"/>
      </w:pPr>
      <w:rPr>
        <w:rFonts w:ascii="Wingdings" w:hAnsi="Wingdings" w:hint="default"/>
      </w:rPr>
    </w:lvl>
    <w:lvl w:ilvl="2" w:tplc="04050005">
      <w:start w:val="1"/>
      <w:numFmt w:val="decimal"/>
      <w:lvlText w:val="%3."/>
      <w:lvlJc w:val="left"/>
      <w:pPr>
        <w:tabs>
          <w:tab w:val="num" w:pos="900"/>
        </w:tabs>
        <w:ind w:left="900" w:hanging="360"/>
      </w:pPr>
      <w:rPr>
        <w:rFonts w:cs="Times New Roman"/>
      </w:rPr>
    </w:lvl>
    <w:lvl w:ilvl="3" w:tplc="04050001">
      <w:start w:val="1"/>
      <w:numFmt w:val="decimal"/>
      <w:lvlText w:val="%4."/>
      <w:lvlJc w:val="left"/>
      <w:pPr>
        <w:tabs>
          <w:tab w:val="num" w:pos="1620"/>
        </w:tabs>
        <w:ind w:left="1620" w:hanging="360"/>
      </w:pPr>
      <w:rPr>
        <w:rFonts w:cs="Times New Roman"/>
      </w:rPr>
    </w:lvl>
    <w:lvl w:ilvl="4" w:tplc="04050003">
      <w:start w:val="1"/>
      <w:numFmt w:val="decimal"/>
      <w:lvlText w:val="%5."/>
      <w:lvlJc w:val="left"/>
      <w:pPr>
        <w:tabs>
          <w:tab w:val="num" w:pos="2340"/>
        </w:tabs>
        <w:ind w:left="2340" w:hanging="360"/>
      </w:pPr>
      <w:rPr>
        <w:rFonts w:cs="Times New Roman"/>
      </w:rPr>
    </w:lvl>
    <w:lvl w:ilvl="5" w:tplc="04050005">
      <w:start w:val="1"/>
      <w:numFmt w:val="decimal"/>
      <w:lvlText w:val="%6."/>
      <w:lvlJc w:val="left"/>
      <w:pPr>
        <w:tabs>
          <w:tab w:val="num" w:pos="3060"/>
        </w:tabs>
        <w:ind w:left="3060" w:hanging="360"/>
      </w:pPr>
      <w:rPr>
        <w:rFonts w:cs="Times New Roman"/>
      </w:rPr>
    </w:lvl>
    <w:lvl w:ilvl="6" w:tplc="04050001">
      <w:start w:val="1"/>
      <w:numFmt w:val="decimal"/>
      <w:lvlText w:val="%7."/>
      <w:lvlJc w:val="left"/>
      <w:pPr>
        <w:tabs>
          <w:tab w:val="num" w:pos="3780"/>
        </w:tabs>
        <w:ind w:left="3780" w:hanging="360"/>
      </w:pPr>
      <w:rPr>
        <w:rFonts w:cs="Times New Roman"/>
      </w:rPr>
    </w:lvl>
    <w:lvl w:ilvl="7" w:tplc="04050003">
      <w:start w:val="1"/>
      <w:numFmt w:val="decimal"/>
      <w:lvlText w:val="%8."/>
      <w:lvlJc w:val="left"/>
      <w:pPr>
        <w:tabs>
          <w:tab w:val="num" w:pos="4500"/>
        </w:tabs>
        <w:ind w:left="4500" w:hanging="360"/>
      </w:pPr>
      <w:rPr>
        <w:rFonts w:cs="Times New Roman"/>
      </w:rPr>
    </w:lvl>
    <w:lvl w:ilvl="8" w:tplc="04050005">
      <w:start w:val="1"/>
      <w:numFmt w:val="decimal"/>
      <w:lvlText w:val="%9."/>
      <w:lvlJc w:val="left"/>
      <w:pPr>
        <w:tabs>
          <w:tab w:val="num" w:pos="5220"/>
        </w:tabs>
        <w:ind w:left="5220" w:hanging="360"/>
      </w:pPr>
      <w:rPr>
        <w:rFonts w:cs="Times New Roman"/>
      </w:rPr>
    </w:lvl>
  </w:abstractNum>
  <w:abstractNum w:abstractNumId="6" w15:restartNumberingAfterBreak="0">
    <w:nsid w:val="291B29B7"/>
    <w:multiLevelType w:val="hybridMultilevel"/>
    <w:tmpl w:val="07FA56A0"/>
    <w:lvl w:ilvl="0" w:tplc="9552DCFE">
      <w:start w:val="1"/>
      <w:numFmt w:val="bullet"/>
      <w:lvlText w:val="­"/>
      <w:lvlJc w:val="left"/>
      <w:pPr>
        <w:ind w:left="360" w:hanging="360"/>
      </w:pPr>
      <w:rPr>
        <w:rFonts w:ascii="Courier New" w:hAnsi="Courier New" w:hint="default"/>
        <w:sz w:val="20"/>
        <w:szCs w:val="2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29705EBD"/>
    <w:multiLevelType w:val="hybridMultilevel"/>
    <w:tmpl w:val="DCF89F08"/>
    <w:lvl w:ilvl="0" w:tplc="486E3634">
      <w:start w:val="3"/>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32F4A39"/>
    <w:multiLevelType w:val="hybridMultilevel"/>
    <w:tmpl w:val="873ECD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9927A2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2FD2A33"/>
    <w:multiLevelType w:val="hybridMultilevel"/>
    <w:tmpl w:val="7EC004CA"/>
    <w:lvl w:ilvl="0" w:tplc="04050001">
      <w:start w:val="1"/>
      <w:numFmt w:val="bullet"/>
      <w:lvlText w:val=""/>
      <w:lvlJc w:val="left"/>
      <w:pPr>
        <w:tabs>
          <w:tab w:val="num" w:pos="720"/>
        </w:tabs>
        <w:ind w:left="720" w:hanging="360"/>
      </w:pPr>
      <w:rPr>
        <w:rFonts w:ascii="Symbol" w:hAnsi="Symbol" w:hint="default"/>
      </w:rPr>
    </w:lvl>
    <w:lvl w:ilvl="1" w:tplc="04050005">
      <w:start w:val="1"/>
      <w:numFmt w:val="bullet"/>
      <w:lvlText w:val=""/>
      <w:lvlJc w:val="left"/>
      <w:pPr>
        <w:tabs>
          <w:tab w:val="num" w:pos="1440"/>
        </w:tabs>
        <w:ind w:left="1440" w:hanging="36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273F4B"/>
    <w:multiLevelType w:val="hybridMultilevel"/>
    <w:tmpl w:val="0E425C8A"/>
    <w:lvl w:ilvl="0" w:tplc="04050011">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23A354F"/>
    <w:multiLevelType w:val="hybridMultilevel"/>
    <w:tmpl w:val="A9D61E4E"/>
    <w:lvl w:ilvl="0" w:tplc="55CA99B2">
      <w:start w:val="1"/>
      <w:numFmt w:val="bullet"/>
      <w:lvlText w:val=""/>
      <w:lvlJc w:val="left"/>
      <w:pPr>
        <w:tabs>
          <w:tab w:val="num" w:pos="1797"/>
        </w:tabs>
        <w:ind w:left="1797" w:hanging="360"/>
      </w:pPr>
      <w:rPr>
        <w:rFonts w:ascii="Symbol" w:hAnsi="Symbol" w:hint="default"/>
        <w:color w:val="auto"/>
      </w:rPr>
    </w:lvl>
    <w:lvl w:ilvl="1" w:tplc="04050003" w:tentative="1">
      <w:start w:val="1"/>
      <w:numFmt w:val="bullet"/>
      <w:lvlText w:val="o"/>
      <w:lvlJc w:val="left"/>
      <w:pPr>
        <w:tabs>
          <w:tab w:val="num" w:pos="1797"/>
        </w:tabs>
        <w:ind w:left="1797" w:hanging="360"/>
      </w:pPr>
      <w:rPr>
        <w:rFonts w:ascii="Courier New" w:hAnsi="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55CA99B2">
      <w:start w:val="1"/>
      <w:numFmt w:val="bullet"/>
      <w:lvlText w:val=""/>
      <w:lvlJc w:val="left"/>
      <w:pPr>
        <w:tabs>
          <w:tab w:val="num" w:pos="6117"/>
        </w:tabs>
        <w:ind w:left="6117" w:hanging="360"/>
      </w:pPr>
      <w:rPr>
        <w:rFonts w:ascii="Symbol" w:hAnsi="Symbol" w:hint="default"/>
        <w:color w:val="auto"/>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5B290DEA"/>
    <w:multiLevelType w:val="hybridMultilevel"/>
    <w:tmpl w:val="68C24F2C"/>
    <w:lvl w:ilvl="0" w:tplc="9552DCFE">
      <w:start w:val="1"/>
      <w:numFmt w:val="bullet"/>
      <w:lvlText w:val="­"/>
      <w:lvlJc w:val="left"/>
      <w:pPr>
        <w:ind w:left="360" w:hanging="360"/>
      </w:pPr>
      <w:rPr>
        <w:rFonts w:ascii="Courier New" w:hAnsi="Courier New" w:hint="default"/>
        <w:sz w:val="20"/>
        <w:szCs w:val="2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5CBF6653"/>
    <w:multiLevelType w:val="hybridMultilevel"/>
    <w:tmpl w:val="7B28491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5E20385E"/>
    <w:multiLevelType w:val="hybridMultilevel"/>
    <w:tmpl w:val="58DC4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5EED7E7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0B70BF3"/>
    <w:multiLevelType w:val="hybridMultilevel"/>
    <w:tmpl w:val="0A20DDF6"/>
    <w:lvl w:ilvl="0" w:tplc="4B5C7850">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22554F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BA56763"/>
    <w:multiLevelType w:val="hybridMultilevel"/>
    <w:tmpl w:val="FF1205FA"/>
    <w:lvl w:ilvl="0" w:tplc="9D983CB2">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6EE64CED"/>
    <w:multiLevelType w:val="hybridMultilevel"/>
    <w:tmpl w:val="D7F8F54A"/>
    <w:lvl w:ilvl="0" w:tplc="7B5E5010">
      <w:numFmt w:val="bullet"/>
      <w:lvlText w:val="-"/>
      <w:lvlJc w:val="left"/>
      <w:pPr>
        <w:ind w:left="720" w:hanging="360"/>
      </w:pPr>
      <w:rPr>
        <w:rFonts w:ascii="Times New Roman" w:eastAsia="Times New Roman" w:hAnsi="Times New Roman" w:cs="Times New Roman"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F154BFF"/>
    <w:multiLevelType w:val="hybridMultilevel"/>
    <w:tmpl w:val="776E56BC"/>
    <w:lvl w:ilvl="0" w:tplc="0405000F">
      <w:start w:val="1"/>
      <w:numFmt w:val="decimal"/>
      <w:lvlText w:val="%1."/>
      <w:lvlJc w:val="left"/>
      <w:pPr>
        <w:ind w:left="765" w:hanging="360"/>
      </w:pPr>
    </w:lvl>
    <w:lvl w:ilvl="1" w:tplc="04050019">
      <w:start w:val="1"/>
      <w:numFmt w:val="lowerLetter"/>
      <w:lvlText w:val="%2."/>
      <w:lvlJc w:val="left"/>
      <w:pPr>
        <w:ind w:left="1485" w:hanging="360"/>
      </w:pPr>
    </w:lvl>
    <w:lvl w:ilvl="2" w:tplc="0405001B">
      <w:start w:val="1"/>
      <w:numFmt w:val="lowerRoman"/>
      <w:lvlText w:val="%3."/>
      <w:lvlJc w:val="right"/>
      <w:pPr>
        <w:ind w:left="2205" w:hanging="180"/>
      </w:pPr>
    </w:lvl>
    <w:lvl w:ilvl="3" w:tplc="0405000F">
      <w:start w:val="1"/>
      <w:numFmt w:val="decimal"/>
      <w:lvlText w:val="%4."/>
      <w:lvlJc w:val="left"/>
      <w:pPr>
        <w:ind w:left="2925" w:hanging="360"/>
      </w:pPr>
    </w:lvl>
    <w:lvl w:ilvl="4" w:tplc="04050019">
      <w:start w:val="1"/>
      <w:numFmt w:val="lowerLetter"/>
      <w:lvlText w:val="%5."/>
      <w:lvlJc w:val="left"/>
      <w:pPr>
        <w:ind w:left="3645" w:hanging="360"/>
      </w:pPr>
    </w:lvl>
    <w:lvl w:ilvl="5" w:tplc="0405001B">
      <w:start w:val="1"/>
      <w:numFmt w:val="lowerRoman"/>
      <w:lvlText w:val="%6."/>
      <w:lvlJc w:val="right"/>
      <w:pPr>
        <w:ind w:left="4365" w:hanging="180"/>
      </w:pPr>
    </w:lvl>
    <w:lvl w:ilvl="6" w:tplc="0405000F">
      <w:start w:val="1"/>
      <w:numFmt w:val="decimal"/>
      <w:lvlText w:val="%7."/>
      <w:lvlJc w:val="left"/>
      <w:pPr>
        <w:ind w:left="5085" w:hanging="360"/>
      </w:pPr>
    </w:lvl>
    <w:lvl w:ilvl="7" w:tplc="04050019">
      <w:start w:val="1"/>
      <w:numFmt w:val="lowerLetter"/>
      <w:lvlText w:val="%8."/>
      <w:lvlJc w:val="left"/>
      <w:pPr>
        <w:ind w:left="5805" w:hanging="360"/>
      </w:pPr>
    </w:lvl>
    <w:lvl w:ilvl="8" w:tplc="0405001B">
      <w:start w:val="1"/>
      <w:numFmt w:val="lowerRoman"/>
      <w:lvlText w:val="%9."/>
      <w:lvlJc w:val="right"/>
      <w:pPr>
        <w:ind w:left="6525" w:hanging="180"/>
      </w:pPr>
    </w:lvl>
  </w:abstractNum>
  <w:abstractNum w:abstractNumId="22" w15:restartNumberingAfterBreak="0">
    <w:nsid w:val="74735A1D"/>
    <w:multiLevelType w:val="hybridMultilevel"/>
    <w:tmpl w:val="04266046"/>
    <w:lvl w:ilvl="0" w:tplc="FFFFFFFF">
      <w:start w:val="1"/>
      <w:numFmt w:val="ideographDigital"/>
      <w:lvlText w:val=""/>
      <w:lvlJc w:val="left"/>
    </w:lvl>
    <w:lvl w:ilvl="1" w:tplc="FFFFFFFF">
      <w:numFmt w:val="decimal"/>
      <w:lvlText w:val=""/>
      <w:lvlJc w:val="left"/>
    </w:lvl>
    <w:lvl w:ilvl="2" w:tplc="8042E96C">
      <w:start w:val="1"/>
      <w:numFmt w:val="bullet"/>
      <w:lvlText w:val=""/>
      <w:lvlJc w:val="left"/>
      <w:pPr>
        <w:ind w:left="36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77E7A98"/>
    <w:multiLevelType w:val="hybridMultilevel"/>
    <w:tmpl w:val="D866521E"/>
    <w:lvl w:ilvl="0" w:tplc="04050003">
      <w:start w:val="1"/>
      <w:numFmt w:val="bullet"/>
      <w:lvlText w:val="o"/>
      <w:lvlJc w:val="left"/>
      <w:pPr>
        <w:tabs>
          <w:tab w:val="num" w:pos="360"/>
        </w:tabs>
        <w:ind w:left="340" w:hanging="340"/>
      </w:pPr>
      <w:rPr>
        <w:rFonts w:ascii="Courier New" w:hAnsi="Courier New" w:cs="Courier New"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3406E0"/>
    <w:multiLevelType w:val="hybridMultilevel"/>
    <w:tmpl w:val="895E7B18"/>
    <w:lvl w:ilvl="0" w:tplc="04050003">
      <w:start w:val="1"/>
      <w:numFmt w:val="bullet"/>
      <w:lvlText w:val="o"/>
      <w:lvlJc w:val="left"/>
      <w:pPr>
        <w:tabs>
          <w:tab w:val="num" w:pos="720"/>
        </w:tabs>
        <w:ind w:left="720" w:hanging="360"/>
      </w:pPr>
      <w:rPr>
        <w:rFonts w:ascii="Courier New" w:hAnsi="Courier New" w:cs="Courier New" w:hint="default"/>
        <w:sz w:val="20"/>
        <w:szCs w:val="20"/>
      </w:rPr>
    </w:lvl>
    <w:lvl w:ilvl="1" w:tplc="04050019">
      <w:start w:val="1"/>
      <w:numFmt w:val="bullet"/>
      <w:lvlText w:val=""/>
      <w:lvlJc w:val="left"/>
      <w:pPr>
        <w:tabs>
          <w:tab w:val="num" w:pos="1440"/>
        </w:tabs>
        <w:ind w:left="1440" w:hanging="360"/>
      </w:pPr>
      <w:rPr>
        <w:rFonts w:ascii="Symbol" w:hAnsi="Symbol" w:hint="default"/>
        <w:color w:val="auto"/>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AA3730"/>
    <w:multiLevelType w:val="hybridMultilevel"/>
    <w:tmpl w:val="D45203AA"/>
    <w:lvl w:ilvl="0" w:tplc="9D983CB2">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7C9D7992"/>
    <w:multiLevelType w:val="hybridMultilevel"/>
    <w:tmpl w:val="B7E8E904"/>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7D2952A3"/>
    <w:multiLevelType w:val="hybridMultilevel"/>
    <w:tmpl w:val="149271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18611106">
    <w:abstractNumId w:val="1"/>
  </w:num>
  <w:num w:numId="2" w16cid:durableId="31812244">
    <w:abstractNumId w:val="12"/>
  </w:num>
  <w:num w:numId="3" w16cid:durableId="2065594266">
    <w:abstractNumId w:val="10"/>
  </w:num>
  <w:num w:numId="4" w16cid:durableId="142326369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4448954">
    <w:abstractNumId w:val="23"/>
  </w:num>
  <w:num w:numId="6" w16cid:durableId="153033294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4228160">
    <w:abstractNumId w:val="17"/>
  </w:num>
  <w:num w:numId="8" w16cid:durableId="1867986612">
    <w:abstractNumId w:val="20"/>
  </w:num>
  <w:num w:numId="9" w16cid:durableId="2088794882">
    <w:abstractNumId w:val="3"/>
  </w:num>
  <w:num w:numId="10" w16cid:durableId="1270120231">
    <w:abstractNumId w:val="7"/>
  </w:num>
  <w:num w:numId="11" w16cid:durableId="136267555">
    <w:abstractNumId w:val="11"/>
  </w:num>
  <w:num w:numId="12" w16cid:durableId="1987664474">
    <w:abstractNumId w:val="24"/>
  </w:num>
  <w:num w:numId="13" w16cid:durableId="1746103354">
    <w:abstractNumId w:val="2"/>
  </w:num>
  <w:num w:numId="14" w16cid:durableId="820538911">
    <w:abstractNumId w:val="6"/>
  </w:num>
  <w:num w:numId="15" w16cid:durableId="1626035450">
    <w:abstractNumId w:val="13"/>
  </w:num>
  <w:num w:numId="16" w16cid:durableId="851382502">
    <w:abstractNumId w:val="14"/>
  </w:num>
  <w:num w:numId="17" w16cid:durableId="6815893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372942">
    <w:abstractNumId w:val="5"/>
  </w:num>
  <w:num w:numId="19" w16cid:durableId="606929609">
    <w:abstractNumId w:val="25"/>
  </w:num>
  <w:num w:numId="20" w16cid:durableId="1196187617">
    <w:abstractNumId w:val="19"/>
  </w:num>
  <w:num w:numId="21" w16cid:durableId="174583069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61861124">
    <w:abstractNumId w:val="27"/>
  </w:num>
  <w:num w:numId="23" w16cid:durableId="1606767408">
    <w:abstractNumId w:val="0"/>
  </w:num>
  <w:num w:numId="24" w16cid:durableId="799420862">
    <w:abstractNumId w:val="9"/>
  </w:num>
  <w:num w:numId="25" w16cid:durableId="2009480559">
    <w:abstractNumId w:val="16"/>
  </w:num>
  <w:num w:numId="26" w16cid:durableId="1486579801">
    <w:abstractNumId w:val="22"/>
  </w:num>
  <w:num w:numId="27" w16cid:durableId="481123419">
    <w:abstractNumId w:val="15"/>
  </w:num>
  <w:num w:numId="28" w16cid:durableId="1365015239">
    <w:abstractNumId w:val="4"/>
  </w:num>
  <w:num w:numId="29" w16cid:durableId="1848397610">
    <w:abstractNumId w:val="8"/>
  </w:num>
  <w:num w:numId="30" w16cid:durableId="1924991185">
    <w:abstractNumId w:val="26"/>
  </w:num>
  <w:num w:numId="31" w16cid:durableId="11580336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79"/>
    <w:rsid w:val="00002CD9"/>
    <w:rsid w:val="00023DA9"/>
    <w:rsid w:val="00053EF3"/>
    <w:rsid w:val="00075E1D"/>
    <w:rsid w:val="00085045"/>
    <w:rsid w:val="00085947"/>
    <w:rsid w:val="000D573A"/>
    <w:rsid w:val="001062E0"/>
    <w:rsid w:val="00113650"/>
    <w:rsid w:val="001248A3"/>
    <w:rsid w:val="00127896"/>
    <w:rsid w:val="0013602D"/>
    <w:rsid w:val="00136A73"/>
    <w:rsid w:val="00172A9E"/>
    <w:rsid w:val="00193C7A"/>
    <w:rsid w:val="00194390"/>
    <w:rsid w:val="0019579C"/>
    <w:rsid w:val="00195FFD"/>
    <w:rsid w:val="001E1200"/>
    <w:rsid w:val="001E2B64"/>
    <w:rsid w:val="001E58CA"/>
    <w:rsid w:val="001E5C22"/>
    <w:rsid w:val="001F4E7C"/>
    <w:rsid w:val="00200A29"/>
    <w:rsid w:val="00220E6D"/>
    <w:rsid w:val="00232D67"/>
    <w:rsid w:val="002334CA"/>
    <w:rsid w:val="00235A94"/>
    <w:rsid w:val="0024313C"/>
    <w:rsid w:val="00245913"/>
    <w:rsid w:val="00272CBD"/>
    <w:rsid w:val="002738A4"/>
    <w:rsid w:val="002A2DA2"/>
    <w:rsid w:val="002B0007"/>
    <w:rsid w:val="002B1FFB"/>
    <w:rsid w:val="002B2768"/>
    <w:rsid w:val="002C2FCA"/>
    <w:rsid w:val="002E06F9"/>
    <w:rsid w:val="002E2A09"/>
    <w:rsid w:val="002F0462"/>
    <w:rsid w:val="002F0643"/>
    <w:rsid w:val="002F3A75"/>
    <w:rsid w:val="00324E3A"/>
    <w:rsid w:val="00330610"/>
    <w:rsid w:val="00330B5B"/>
    <w:rsid w:val="00333671"/>
    <w:rsid w:val="00347754"/>
    <w:rsid w:val="003530E1"/>
    <w:rsid w:val="00421B8A"/>
    <w:rsid w:val="00423C5B"/>
    <w:rsid w:val="004417C3"/>
    <w:rsid w:val="004B1DF0"/>
    <w:rsid w:val="004B7618"/>
    <w:rsid w:val="004B7FDC"/>
    <w:rsid w:val="004D2031"/>
    <w:rsid w:val="004E0B79"/>
    <w:rsid w:val="004F1330"/>
    <w:rsid w:val="004F4052"/>
    <w:rsid w:val="00504F96"/>
    <w:rsid w:val="005341E1"/>
    <w:rsid w:val="00536314"/>
    <w:rsid w:val="00570CB9"/>
    <w:rsid w:val="005722D6"/>
    <w:rsid w:val="00586676"/>
    <w:rsid w:val="00590CCC"/>
    <w:rsid w:val="005A6435"/>
    <w:rsid w:val="005D0AB2"/>
    <w:rsid w:val="005E04F5"/>
    <w:rsid w:val="005E0E26"/>
    <w:rsid w:val="005E5EC2"/>
    <w:rsid w:val="005E7593"/>
    <w:rsid w:val="00600364"/>
    <w:rsid w:val="006217FC"/>
    <w:rsid w:val="00625922"/>
    <w:rsid w:val="006500DF"/>
    <w:rsid w:val="006543CC"/>
    <w:rsid w:val="00661E0F"/>
    <w:rsid w:val="006902D4"/>
    <w:rsid w:val="006A13FA"/>
    <w:rsid w:val="006D0A30"/>
    <w:rsid w:val="006D7851"/>
    <w:rsid w:val="006F261E"/>
    <w:rsid w:val="00743E5D"/>
    <w:rsid w:val="0074439B"/>
    <w:rsid w:val="00760784"/>
    <w:rsid w:val="007819C1"/>
    <w:rsid w:val="00782B0E"/>
    <w:rsid w:val="00782E6A"/>
    <w:rsid w:val="00792932"/>
    <w:rsid w:val="00792AD7"/>
    <w:rsid w:val="007A23EB"/>
    <w:rsid w:val="007B6B89"/>
    <w:rsid w:val="007C3744"/>
    <w:rsid w:val="007C4118"/>
    <w:rsid w:val="007D0CF7"/>
    <w:rsid w:val="007D118A"/>
    <w:rsid w:val="007D228A"/>
    <w:rsid w:val="007D2F2A"/>
    <w:rsid w:val="007E36F4"/>
    <w:rsid w:val="007F56EA"/>
    <w:rsid w:val="00803EA3"/>
    <w:rsid w:val="008123C2"/>
    <w:rsid w:val="00816984"/>
    <w:rsid w:val="00820154"/>
    <w:rsid w:val="00847C9D"/>
    <w:rsid w:val="00883A95"/>
    <w:rsid w:val="008A4970"/>
    <w:rsid w:val="008D7EB1"/>
    <w:rsid w:val="009120B5"/>
    <w:rsid w:val="00927F76"/>
    <w:rsid w:val="00933C11"/>
    <w:rsid w:val="0098638C"/>
    <w:rsid w:val="009A1311"/>
    <w:rsid w:val="009C5243"/>
    <w:rsid w:val="009C6D5D"/>
    <w:rsid w:val="009D46A3"/>
    <w:rsid w:val="009F40B1"/>
    <w:rsid w:val="009F6FBA"/>
    <w:rsid w:val="00A339AB"/>
    <w:rsid w:val="00A36506"/>
    <w:rsid w:val="00A50715"/>
    <w:rsid w:val="00A62AB6"/>
    <w:rsid w:val="00A722BD"/>
    <w:rsid w:val="00A9506E"/>
    <w:rsid w:val="00AA6F47"/>
    <w:rsid w:val="00AB5722"/>
    <w:rsid w:val="00AD76D3"/>
    <w:rsid w:val="00AE2BBD"/>
    <w:rsid w:val="00AF23A8"/>
    <w:rsid w:val="00B1018C"/>
    <w:rsid w:val="00B17380"/>
    <w:rsid w:val="00B231C4"/>
    <w:rsid w:val="00B37F1C"/>
    <w:rsid w:val="00B436CD"/>
    <w:rsid w:val="00B47A25"/>
    <w:rsid w:val="00B779E1"/>
    <w:rsid w:val="00BB10C8"/>
    <w:rsid w:val="00BB7B05"/>
    <w:rsid w:val="00BE4E05"/>
    <w:rsid w:val="00C00093"/>
    <w:rsid w:val="00C01024"/>
    <w:rsid w:val="00C04ADB"/>
    <w:rsid w:val="00C069B2"/>
    <w:rsid w:val="00C21176"/>
    <w:rsid w:val="00C2655F"/>
    <w:rsid w:val="00C475F6"/>
    <w:rsid w:val="00C524D8"/>
    <w:rsid w:val="00C85533"/>
    <w:rsid w:val="00C97E37"/>
    <w:rsid w:val="00CA3017"/>
    <w:rsid w:val="00CB02A2"/>
    <w:rsid w:val="00CD6687"/>
    <w:rsid w:val="00D675F4"/>
    <w:rsid w:val="00D73791"/>
    <w:rsid w:val="00DA4ED5"/>
    <w:rsid w:val="00DB480E"/>
    <w:rsid w:val="00DE4B25"/>
    <w:rsid w:val="00DF2C24"/>
    <w:rsid w:val="00E16E52"/>
    <w:rsid w:val="00E26EAD"/>
    <w:rsid w:val="00E4109E"/>
    <w:rsid w:val="00E601F6"/>
    <w:rsid w:val="00E6165B"/>
    <w:rsid w:val="00E72DB8"/>
    <w:rsid w:val="00E9002E"/>
    <w:rsid w:val="00EA77FB"/>
    <w:rsid w:val="00EF073A"/>
    <w:rsid w:val="00EF138E"/>
    <w:rsid w:val="00F3498F"/>
    <w:rsid w:val="00F5125D"/>
    <w:rsid w:val="00F8513E"/>
    <w:rsid w:val="00F874F8"/>
    <w:rsid w:val="00F9054B"/>
    <w:rsid w:val="00F91E14"/>
    <w:rsid w:val="00FA0D41"/>
    <w:rsid w:val="00FA46D4"/>
    <w:rsid w:val="00FB0B44"/>
    <w:rsid w:val="00FE71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57FC"/>
  <w15:chartTrackingRefBased/>
  <w15:docId w15:val="{7A0807E3-D8DD-4348-8BE5-7488D6EF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E0B79"/>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uiPriority w:val="9"/>
    <w:qFormat/>
    <w:rsid w:val="004E0B79"/>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uiPriority w:val="9"/>
    <w:semiHidden/>
    <w:unhideWhenUsed/>
    <w:qFormat/>
    <w:rsid w:val="00F3498F"/>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E0B79"/>
    <w:rPr>
      <w:rFonts w:ascii="Arial" w:eastAsia="Times New Roman" w:hAnsi="Arial" w:cs="Arial"/>
      <w:b/>
      <w:bCs/>
      <w:i/>
      <w:iCs/>
      <w:sz w:val="28"/>
      <w:szCs w:val="28"/>
      <w:lang w:eastAsia="cs-CZ"/>
    </w:rPr>
  </w:style>
  <w:style w:type="paragraph" w:customStyle="1" w:styleId="Textpsmene">
    <w:name w:val="Text písmene"/>
    <w:basedOn w:val="Normln"/>
    <w:rsid w:val="004E0B79"/>
    <w:pPr>
      <w:tabs>
        <w:tab w:val="num" w:pos="360"/>
      </w:tabs>
      <w:jc w:val="both"/>
      <w:outlineLvl w:val="7"/>
    </w:pPr>
    <w:rPr>
      <w:szCs w:val="20"/>
    </w:rPr>
  </w:style>
  <w:style w:type="paragraph" w:styleId="Odstavecseseznamem">
    <w:name w:val="List Paragraph"/>
    <w:basedOn w:val="Normln"/>
    <w:uiPriority w:val="34"/>
    <w:qFormat/>
    <w:rsid w:val="004E0B79"/>
    <w:pPr>
      <w:widowControl w:val="0"/>
      <w:overflowPunct w:val="0"/>
      <w:autoSpaceDE w:val="0"/>
      <w:autoSpaceDN w:val="0"/>
      <w:adjustRightInd w:val="0"/>
      <w:ind w:left="720"/>
      <w:contextualSpacing/>
    </w:pPr>
    <w:rPr>
      <w:rFonts w:eastAsia="SimSun"/>
      <w:szCs w:val="20"/>
    </w:rPr>
  </w:style>
  <w:style w:type="paragraph" w:styleId="Zkladntextodsazen">
    <w:name w:val="Body Text Indent"/>
    <w:basedOn w:val="Normln"/>
    <w:link w:val="ZkladntextodsazenChar"/>
    <w:uiPriority w:val="99"/>
    <w:rsid w:val="004E0B79"/>
    <w:pPr>
      <w:ind w:left="5220" w:hanging="5220"/>
    </w:pPr>
  </w:style>
  <w:style w:type="character" w:customStyle="1" w:styleId="ZkladntextodsazenChar">
    <w:name w:val="Základní text odsazený Char"/>
    <w:basedOn w:val="Standardnpsmoodstavce"/>
    <w:link w:val="Zkladntextodsazen"/>
    <w:uiPriority w:val="99"/>
    <w:rsid w:val="004E0B79"/>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D76D3"/>
    <w:pPr>
      <w:tabs>
        <w:tab w:val="center" w:pos="4536"/>
        <w:tab w:val="right" w:pos="9072"/>
      </w:tabs>
    </w:pPr>
  </w:style>
  <w:style w:type="character" w:customStyle="1" w:styleId="ZhlavChar">
    <w:name w:val="Záhlaví Char"/>
    <w:basedOn w:val="Standardnpsmoodstavce"/>
    <w:link w:val="Zhlav"/>
    <w:uiPriority w:val="99"/>
    <w:rsid w:val="00AD76D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D76D3"/>
    <w:pPr>
      <w:tabs>
        <w:tab w:val="center" w:pos="4536"/>
        <w:tab w:val="right" w:pos="9072"/>
      </w:tabs>
    </w:pPr>
  </w:style>
  <w:style w:type="character" w:customStyle="1" w:styleId="ZpatChar">
    <w:name w:val="Zápatí Char"/>
    <w:basedOn w:val="Standardnpsmoodstavce"/>
    <w:link w:val="Zpat"/>
    <w:uiPriority w:val="99"/>
    <w:rsid w:val="00AD76D3"/>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7379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73791"/>
    <w:rPr>
      <w:rFonts w:ascii="Segoe UI" w:eastAsia="Times New Roman" w:hAnsi="Segoe UI" w:cs="Segoe UI"/>
      <w:sz w:val="18"/>
      <w:szCs w:val="18"/>
      <w:lang w:eastAsia="cs-CZ"/>
    </w:rPr>
  </w:style>
  <w:style w:type="character" w:customStyle="1" w:styleId="Nadpis3Char">
    <w:name w:val="Nadpis 3 Char"/>
    <w:basedOn w:val="Standardnpsmoodstavce"/>
    <w:link w:val="Nadpis3"/>
    <w:uiPriority w:val="9"/>
    <w:semiHidden/>
    <w:rsid w:val="00F3498F"/>
    <w:rPr>
      <w:rFonts w:asciiTheme="majorHAnsi" w:eastAsiaTheme="majorEastAsia" w:hAnsiTheme="majorHAnsi" w:cstheme="majorBidi"/>
      <w:color w:val="1F3763" w:themeColor="accent1" w:themeShade="7F"/>
      <w:sz w:val="24"/>
      <w:szCs w:val="24"/>
      <w:lang w:eastAsia="cs-CZ"/>
    </w:rPr>
  </w:style>
  <w:style w:type="paragraph" w:styleId="Prosttext">
    <w:name w:val="Plain Text"/>
    <w:basedOn w:val="Normln"/>
    <w:link w:val="ProsttextChar"/>
    <w:uiPriority w:val="99"/>
    <w:unhideWhenUsed/>
    <w:rsid w:val="00F3498F"/>
    <w:rPr>
      <w:rFonts w:ascii="Calibri" w:eastAsia="Calibri" w:hAnsi="Calibri"/>
      <w:sz w:val="22"/>
      <w:szCs w:val="21"/>
      <w:lang w:eastAsia="en-US"/>
    </w:rPr>
  </w:style>
  <w:style w:type="character" w:customStyle="1" w:styleId="ProsttextChar">
    <w:name w:val="Prostý text Char"/>
    <w:basedOn w:val="Standardnpsmoodstavce"/>
    <w:link w:val="Prosttext"/>
    <w:uiPriority w:val="99"/>
    <w:rsid w:val="00F3498F"/>
    <w:rPr>
      <w:rFonts w:ascii="Calibri" w:eastAsia="Calibri" w:hAnsi="Calibri" w:cs="Times New Roman"/>
      <w:szCs w:val="21"/>
    </w:rPr>
  </w:style>
  <w:style w:type="paragraph" w:customStyle="1" w:styleId="l2">
    <w:name w:val="l2"/>
    <w:basedOn w:val="Normln"/>
    <w:rsid w:val="00F3498F"/>
    <w:pPr>
      <w:spacing w:before="100" w:beforeAutospacing="1" w:after="100" w:afterAutospacing="1"/>
    </w:pPr>
  </w:style>
  <w:style w:type="paragraph" w:customStyle="1" w:styleId="Default">
    <w:name w:val="Default"/>
    <w:rsid w:val="007F56E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1617">
      <w:bodyDiv w:val="1"/>
      <w:marLeft w:val="0"/>
      <w:marRight w:val="0"/>
      <w:marTop w:val="0"/>
      <w:marBottom w:val="0"/>
      <w:divBdr>
        <w:top w:val="none" w:sz="0" w:space="0" w:color="auto"/>
        <w:left w:val="none" w:sz="0" w:space="0" w:color="auto"/>
        <w:bottom w:val="none" w:sz="0" w:space="0" w:color="auto"/>
        <w:right w:val="none" w:sz="0" w:space="0" w:color="auto"/>
      </w:divBdr>
    </w:div>
    <w:div w:id="203714146">
      <w:bodyDiv w:val="1"/>
      <w:marLeft w:val="0"/>
      <w:marRight w:val="0"/>
      <w:marTop w:val="0"/>
      <w:marBottom w:val="0"/>
      <w:divBdr>
        <w:top w:val="none" w:sz="0" w:space="0" w:color="auto"/>
        <w:left w:val="none" w:sz="0" w:space="0" w:color="auto"/>
        <w:bottom w:val="none" w:sz="0" w:space="0" w:color="auto"/>
        <w:right w:val="none" w:sz="0" w:space="0" w:color="auto"/>
      </w:divBdr>
    </w:div>
    <w:div w:id="329916899">
      <w:bodyDiv w:val="1"/>
      <w:marLeft w:val="0"/>
      <w:marRight w:val="0"/>
      <w:marTop w:val="0"/>
      <w:marBottom w:val="0"/>
      <w:divBdr>
        <w:top w:val="none" w:sz="0" w:space="0" w:color="auto"/>
        <w:left w:val="none" w:sz="0" w:space="0" w:color="auto"/>
        <w:bottom w:val="none" w:sz="0" w:space="0" w:color="auto"/>
        <w:right w:val="none" w:sz="0" w:space="0" w:color="auto"/>
      </w:divBdr>
    </w:div>
    <w:div w:id="665941939">
      <w:bodyDiv w:val="1"/>
      <w:marLeft w:val="0"/>
      <w:marRight w:val="0"/>
      <w:marTop w:val="0"/>
      <w:marBottom w:val="0"/>
      <w:divBdr>
        <w:top w:val="none" w:sz="0" w:space="0" w:color="auto"/>
        <w:left w:val="none" w:sz="0" w:space="0" w:color="auto"/>
        <w:bottom w:val="none" w:sz="0" w:space="0" w:color="auto"/>
        <w:right w:val="none" w:sz="0" w:space="0" w:color="auto"/>
      </w:divBdr>
    </w:div>
    <w:div w:id="696276529">
      <w:bodyDiv w:val="1"/>
      <w:marLeft w:val="0"/>
      <w:marRight w:val="0"/>
      <w:marTop w:val="0"/>
      <w:marBottom w:val="0"/>
      <w:divBdr>
        <w:top w:val="none" w:sz="0" w:space="0" w:color="auto"/>
        <w:left w:val="none" w:sz="0" w:space="0" w:color="auto"/>
        <w:bottom w:val="none" w:sz="0" w:space="0" w:color="auto"/>
        <w:right w:val="none" w:sz="0" w:space="0" w:color="auto"/>
      </w:divBdr>
    </w:div>
    <w:div w:id="1009678802">
      <w:bodyDiv w:val="1"/>
      <w:marLeft w:val="0"/>
      <w:marRight w:val="0"/>
      <w:marTop w:val="0"/>
      <w:marBottom w:val="0"/>
      <w:divBdr>
        <w:top w:val="none" w:sz="0" w:space="0" w:color="auto"/>
        <w:left w:val="none" w:sz="0" w:space="0" w:color="auto"/>
        <w:bottom w:val="none" w:sz="0" w:space="0" w:color="auto"/>
        <w:right w:val="none" w:sz="0" w:space="0" w:color="auto"/>
      </w:divBdr>
    </w:div>
    <w:div w:id="1265454233">
      <w:bodyDiv w:val="1"/>
      <w:marLeft w:val="0"/>
      <w:marRight w:val="0"/>
      <w:marTop w:val="0"/>
      <w:marBottom w:val="0"/>
      <w:divBdr>
        <w:top w:val="none" w:sz="0" w:space="0" w:color="auto"/>
        <w:left w:val="none" w:sz="0" w:space="0" w:color="auto"/>
        <w:bottom w:val="none" w:sz="0" w:space="0" w:color="auto"/>
        <w:right w:val="none" w:sz="0" w:space="0" w:color="auto"/>
      </w:divBdr>
    </w:div>
    <w:div w:id="1269504493">
      <w:bodyDiv w:val="1"/>
      <w:marLeft w:val="0"/>
      <w:marRight w:val="0"/>
      <w:marTop w:val="0"/>
      <w:marBottom w:val="0"/>
      <w:divBdr>
        <w:top w:val="none" w:sz="0" w:space="0" w:color="auto"/>
        <w:left w:val="none" w:sz="0" w:space="0" w:color="auto"/>
        <w:bottom w:val="none" w:sz="0" w:space="0" w:color="auto"/>
        <w:right w:val="none" w:sz="0" w:space="0" w:color="auto"/>
      </w:divBdr>
    </w:div>
    <w:div w:id="196387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2A047-E5E5-4209-BA16-4A3922BC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9</Pages>
  <Words>4198</Words>
  <Characters>24773</Characters>
  <Application>Microsoft Office Word</Application>
  <DocSecurity>0</DocSecurity>
  <Lines>206</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Řechtáčková Pavla Bc. (P8)</dc:creator>
  <cp:keywords/>
  <dc:description/>
  <cp:lastModifiedBy>Řechtáčková Pavla Bc. (P8)</cp:lastModifiedBy>
  <cp:revision>49</cp:revision>
  <cp:lastPrinted>2021-05-10T10:07:00Z</cp:lastPrinted>
  <dcterms:created xsi:type="dcterms:W3CDTF">2023-05-03T10:51:00Z</dcterms:created>
  <dcterms:modified xsi:type="dcterms:W3CDTF">2025-05-26T11:53:00Z</dcterms:modified>
</cp:coreProperties>
</file>